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eastAsia="宋体"/>
          <w:color w:val="auto"/>
          <w:sz w:val="28"/>
        </w:rPr>
      </w:pPr>
    </w:p>
    <w:p>
      <w:pPr>
        <w:snapToGrid w:val="0"/>
        <w:jc w:val="center"/>
        <w:rPr>
          <w:rFonts w:eastAsia="宋体"/>
          <w:color w:val="auto"/>
          <w:sz w:val="28"/>
        </w:rPr>
      </w:pPr>
    </w:p>
    <w:p>
      <w:pPr>
        <w:snapToGrid w:val="0"/>
        <w:jc w:val="center"/>
        <w:rPr>
          <w:rFonts w:ascii="方正小标宋_GBK" w:hAnsi="方正小标宋_GBK" w:eastAsia="方正小标宋_GBK"/>
          <w:color w:val="auto"/>
          <w:sz w:val="44"/>
        </w:rPr>
      </w:pPr>
      <w:r>
        <w:rPr>
          <w:rFonts w:hint="eastAsia" w:ascii="方正小标宋_GBK" w:hAnsi="方正小标宋_GBK" w:eastAsia="方正小标宋_GBK"/>
          <w:color w:val="auto"/>
          <w:sz w:val="44"/>
        </w:rPr>
        <w:t>第二届川渝住房城乡建设博览会重庆主题展馆及序馆设计方案供应商备选入围项目</w:t>
      </w:r>
    </w:p>
    <w:p>
      <w:pPr>
        <w:snapToGrid w:val="0"/>
        <w:jc w:val="center"/>
        <w:rPr>
          <w:rFonts w:ascii="方正小标宋_GBK" w:hAnsi="方正小标宋_GBK" w:eastAsia="方正小标宋_GBK"/>
          <w:color w:val="auto"/>
          <w:spacing w:val="80"/>
          <w:sz w:val="44"/>
        </w:rPr>
      </w:pPr>
    </w:p>
    <w:p>
      <w:pPr>
        <w:snapToGrid w:val="0"/>
        <w:ind w:firstLine="5632"/>
        <w:rPr>
          <w:rFonts w:eastAsia="Times New Roman"/>
          <w:color w:val="auto"/>
        </w:rPr>
      </w:pPr>
    </w:p>
    <w:p>
      <w:pPr>
        <w:snapToGrid w:val="0"/>
        <w:rPr>
          <w:rFonts w:ascii="方正小标宋_GBK" w:hAnsi="方正小标宋_GBK" w:eastAsia="方正小标宋_GBK"/>
          <w:color w:val="auto"/>
          <w:spacing w:val="80"/>
          <w:sz w:val="44"/>
        </w:rPr>
      </w:pPr>
    </w:p>
    <w:p>
      <w:pPr>
        <w:keepNext/>
        <w:snapToGrid w:val="0"/>
        <w:spacing w:line="360" w:lineRule="atLeast"/>
        <w:rPr>
          <w:rFonts w:hAnsi="Times New Roman" w:eastAsia="宋体"/>
          <w:color w:val="auto"/>
          <w:sz w:val="28"/>
        </w:rPr>
      </w:pPr>
    </w:p>
    <w:p>
      <w:pPr>
        <w:snapToGrid w:val="0"/>
        <w:spacing w:line="360" w:lineRule="atLeast"/>
        <w:ind w:firstLine="22"/>
        <w:rPr>
          <w:rFonts w:eastAsia="Times New Roman"/>
          <w:color w:val="auto"/>
        </w:rPr>
      </w:pPr>
    </w:p>
    <w:p>
      <w:pPr>
        <w:snapToGrid w:val="0"/>
        <w:jc w:val="center"/>
        <w:rPr>
          <w:rFonts w:ascii="方正小标宋_GBK" w:hAnsi="方正小标宋_GBK" w:eastAsia="方正小标宋_GBK"/>
          <w:color w:val="auto"/>
          <w:spacing w:val="80"/>
          <w:sz w:val="84"/>
        </w:rPr>
      </w:pPr>
      <w:r>
        <w:rPr>
          <w:rFonts w:hint="eastAsia" w:ascii="方正小标宋_GBK" w:hAnsi="方正小标宋_GBK" w:eastAsia="方正小标宋_GBK"/>
          <w:color w:val="auto"/>
          <w:spacing w:val="80"/>
          <w:sz w:val="84"/>
        </w:rPr>
        <w:t>竞争性磋商</w:t>
      </w:r>
    </w:p>
    <w:p>
      <w:pPr>
        <w:snapToGrid w:val="0"/>
        <w:jc w:val="center"/>
        <w:rPr>
          <w:rFonts w:ascii="方正小标宋_GBK" w:hAnsi="方正小标宋_GBK" w:eastAsia="方正小标宋_GBK"/>
          <w:color w:val="auto"/>
          <w:spacing w:val="80"/>
          <w:sz w:val="84"/>
        </w:rPr>
      </w:pPr>
      <w:r>
        <w:rPr>
          <w:rFonts w:hint="eastAsia" w:ascii="方正小标宋_GBK" w:hAnsi="方正小标宋_GBK" w:eastAsia="方正小标宋_GBK"/>
          <w:color w:val="auto"/>
          <w:spacing w:val="80"/>
          <w:sz w:val="84"/>
        </w:rPr>
        <w:t>文件</w:t>
      </w:r>
    </w:p>
    <w:p>
      <w:pPr>
        <w:snapToGrid w:val="0"/>
        <w:spacing w:line="700" w:lineRule="exact"/>
        <w:jc w:val="center"/>
        <w:rPr>
          <w:rFonts w:ascii="方正小标宋_GBK" w:hAnsi="方正小标宋_GBK" w:eastAsia="方正小标宋_GBK"/>
          <w:color w:val="auto"/>
          <w:sz w:val="44"/>
        </w:rPr>
      </w:pPr>
    </w:p>
    <w:p>
      <w:pPr>
        <w:snapToGrid w:val="0"/>
        <w:spacing w:line="700" w:lineRule="exact"/>
        <w:jc w:val="center"/>
        <w:rPr>
          <w:rFonts w:ascii="方正仿宋_GBK" w:hAnsi="方正仿宋_GBK" w:eastAsia="方正仿宋_GBK"/>
          <w:color w:val="auto"/>
          <w:sz w:val="44"/>
        </w:rPr>
      </w:pPr>
    </w:p>
    <w:p>
      <w:pPr>
        <w:snapToGrid w:val="0"/>
        <w:spacing w:line="700" w:lineRule="exact"/>
        <w:jc w:val="center"/>
        <w:rPr>
          <w:rFonts w:ascii="方正仿宋_GBK" w:hAnsi="方正仿宋_GBK" w:eastAsia="方正仿宋_GBK"/>
          <w:b/>
          <w:color w:val="auto"/>
          <w:sz w:val="32"/>
        </w:rPr>
      </w:pPr>
    </w:p>
    <w:p>
      <w:pPr>
        <w:snapToGrid w:val="0"/>
        <w:spacing w:line="360" w:lineRule="atLeast"/>
        <w:ind w:firstLine="22"/>
        <w:rPr>
          <w:rFonts w:ascii="方正仿宋_GBK" w:hAnsi="方正仿宋_GBK" w:eastAsia="方正仿宋_GBK"/>
          <w:b/>
          <w:color w:val="auto"/>
          <w:sz w:val="32"/>
        </w:rPr>
      </w:pPr>
    </w:p>
    <w:p>
      <w:pPr>
        <w:snapToGrid w:val="0"/>
        <w:ind w:firstLine="5632"/>
        <w:rPr>
          <w:rFonts w:eastAsia="Times New Roman"/>
          <w:color w:val="auto"/>
        </w:rPr>
      </w:pPr>
    </w:p>
    <w:p>
      <w:pPr>
        <w:snapToGrid w:val="0"/>
        <w:spacing w:line="700" w:lineRule="exact"/>
        <w:ind w:firstLine="850"/>
        <w:jc w:val="left"/>
        <w:rPr>
          <w:rFonts w:ascii="方正仿宋_GBK" w:hAnsi="方正仿宋_GBK" w:eastAsia="方正仿宋_GBK"/>
          <w:b/>
          <w:color w:val="auto"/>
          <w:sz w:val="32"/>
        </w:rPr>
      </w:pPr>
      <w:r>
        <w:rPr>
          <w:rFonts w:hint="eastAsia" w:ascii="方正仿宋_GBK" w:hAnsi="方正仿宋_GBK" w:eastAsia="方正仿宋_GBK"/>
          <w:b/>
          <w:color w:val="auto"/>
          <w:sz w:val="32"/>
        </w:rPr>
        <w:t>项目编号：渝【建标招】2021-266</w:t>
      </w:r>
    </w:p>
    <w:p>
      <w:pPr>
        <w:snapToGrid w:val="0"/>
        <w:spacing w:line="700" w:lineRule="exact"/>
        <w:ind w:firstLine="850"/>
        <w:jc w:val="left"/>
        <w:rPr>
          <w:rFonts w:ascii="方正仿宋_GBK" w:hAnsi="方正仿宋_GBK" w:eastAsia="方正仿宋_GBK"/>
          <w:b/>
          <w:color w:val="auto"/>
          <w:sz w:val="32"/>
        </w:rPr>
      </w:pPr>
      <w:r>
        <w:rPr>
          <w:rFonts w:hint="eastAsia" w:ascii="方正仿宋_GBK" w:hAnsi="方正仿宋_GBK" w:eastAsia="方正仿宋_GBK"/>
          <w:b/>
          <w:color w:val="auto"/>
          <w:sz w:val="32"/>
        </w:rPr>
        <w:t>采购人：重庆市住房和城乡建设技术发展中心（重庆市建筑节能中心）</w:t>
      </w:r>
    </w:p>
    <w:p>
      <w:pPr>
        <w:snapToGrid w:val="0"/>
        <w:spacing w:line="700" w:lineRule="exact"/>
        <w:rPr>
          <w:rFonts w:ascii="方正仿宋_GBK" w:hAnsi="方正仿宋_GBK" w:eastAsia="方正仿宋_GBK"/>
          <w:b/>
          <w:color w:val="auto"/>
          <w:sz w:val="32"/>
        </w:rPr>
      </w:pPr>
      <w:r>
        <w:rPr>
          <w:rFonts w:hint="eastAsia" w:ascii="方正仿宋_GBK" w:hAnsi="方正仿宋_GBK" w:eastAsia="方正仿宋_GBK"/>
          <w:b/>
          <w:color w:val="auto"/>
          <w:sz w:val="32"/>
        </w:rPr>
        <w:t xml:space="preserve">     采购代理机构：重庆市建标工程技术有限公司</w:t>
      </w:r>
    </w:p>
    <w:p>
      <w:pPr>
        <w:snapToGrid w:val="0"/>
        <w:spacing w:line="480" w:lineRule="exact"/>
        <w:jc w:val="center"/>
        <w:rPr>
          <w:rFonts w:ascii="方正仿宋_GBK" w:hAnsi="方正仿宋_GBK" w:eastAsia="方正仿宋_GBK"/>
          <w:b/>
          <w:color w:val="auto"/>
          <w:sz w:val="32"/>
        </w:rPr>
      </w:pPr>
    </w:p>
    <w:p>
      <w:pPr>
        <w:snapToGrid w:val="0"/>
        <w:spacing w:line="480" w:lineRule="exact"/>
        <w:jc w:val="center"/>
        <w:rPr>
          <w:rFonts w:ascii="方正仿宋_GBK" w:hAnsi="方正仿宋_GBK" w:eastAsia="方正仿宋_GBK"/>
          <w:b/>
          <w:color w:val="auto"/>
          <w:sz w:val="32"/>
        </w:rPr>
        <w:sectPr>
          <w:footerReference r:id="rId3" w:type="default"/>
          <w:pgSz w:w="11907" w:h="16840"/>
          <w:pgMar w:top="1134" w:right="1191" w:bottom="1134" w:left="1304" w:header="851" w:footer="992" w:gutter="0"/>
          <w:pgNumType w:start="1"/>
          <w:cols w:space="720" w:num="1"/>
          <w:docGrid w:linePitch="380" w:charSpace="0"/>
        </w:sectPr>
      </w:pPr>
      <w:r>
        <w:rPr>
          <w:rFonts w:hint="eastAsia" w:ascii="方正仿宋_GBK" w:hAnsi="方正仿宋_GBK" w:eastAsia="方正仿宋_GBK"/>
          <w:b/>
          <w:color w:val="auto"/>
          <w:sz w:val="32"/>
        </w:rPr>
        <w:t>二</w:t>
      </w:r>
      <w:r>
        <w:rPr>
          <w:rFonts w:ascii="方正仿宋_GBK" w:hAnsi="方正仿宋_GBK" w:eastAsia="方正仿宋_GBK"/>
          <w:b/>
          <w:color w:val="auto"/>
          <w:sz w:val="32"/>
        </w:rPr>
        <w:t xml:space="preserve">〇 </w:t>
      </w:r>
      <w:r>
        <w:rPr>
          <w:rFonts w:hint="eastAsia" w:ascii="方正仿宋_GBK" w:hAnsi="方正仿宋_GBK" w:eastAsia="方正仿宋_GBK"/>
          <w:b/>
          <w:color w:val="auto"/>
          <w:sz w:val="32"/>
        </w:rPr>
        <w:t>二一年十二月</w:t>
      </w:r>
    </w:p>
    <w:sdt>
      <w:sdtPr>
        <w:rPr>
          <w:rFonts w:hint="eastAsia" w:ascii="仿宋" w:hAnsi="仿宋" w:eastAsia="仿宋" w:cs="仿宋"/>
          <w:color w:val="auto"/>
          <w:sz w:val="32"/>
          <w:szCs w:val="32"/>
        </w:rPr>
        <w:id w:val="147454013"/>
        <w:docPartObj>
          <w:docPartGallery w:val="Table of Contents"/>
          <w:docPartUnique/>
        </w:docPartObj>
      </w:sdtPr>
      <w:sdtEndPr>
        <w:rPr>
          <w:rFonts w:hint="eastAsia" w:ascii="宋体" w:hAnsi="宋体" w:eastAsia="宋体" w:cs="宋体"/>
          <w:b/>
          <w:color w:val="auto"/>
          <w:sz w:val="32"/>
          <w:szCs w:val="32"/>
        </w:rPr>
      </w:sdtEndPr>
      <w:sdtContent>
        <w:p>
          <w:pPr>
            <w:spacing w:line="500" w:lineRule="exact"/>
            <w:jc w:val="center"/>
            <w:rPr>
              <w:rFonts w:ascii="仿宋" w:hAnsi="仿宋" w:eastAsia="仿宋" w:cs="仿宋"/>
              <w:color w:val="auto"/>
              <w:sz w:val="32"/>
              <w:szCs w:val="32"/>
            </w:rPr>
          </w:pPr>
          <w:bookmarkStart w:id="0" w:name="_Toc24511"/>
          <w:r>
            <w:rPr>
              <w:rFonts w:hint="eastAsia" w:ascii="仿宋" w:hAnsi="仿宋" w:eastAsia="仿宋" w:cs="仿宋"/>
              <w:color w:val="auto"/>
              <w:sz w:val="32"/>
              <w:szCs w:val="32"/>
            </w:rPr>
            <w:t>目录</w:t>
          </w:r>
        </w:p>
        <w:p>
          <w:pPr>
            <w:pStyle w:val="5"/>
            <w:tabs>
              <w:tab w:val="right" w:leader="dot" w:pos="9071"/>
            </w:tabs>
            <w:spacing w:line="500" w:lineRule="exact"/>
            <w:rPr>
              <w:rFonts w:ascii="仿宋" w:hAnsi="仿宋" w:eastAsia="仿宋" w:cs="仿宋"/>
              <w:color w:val="auto"/>
              <w:sz w:val="28"/>
              <w:szCs w:val="28"/>
            </w:rPr>
          </w:pPr>
          <w:r>
            <w:rPr>
              <w:color w:val="auto"/>
              <w:sz w:val="32"/>
              <w:szCs w:val="32"/>
            </w:rPr>
            <w:fldChar w:fldCharType="begin"/>
          </w:r>
          <w:r>
            <w:rPr>
              <w:color w:val="auto"/>
              <w:sz w:val="32"/>
              <w:szCs w:val="32"/>
            </w:rPr>
            <w:instrText xml:space="preserve">TOC \o "1-2" \h \u </w:instrText>
          </w:r>
          <w:r>
            <w:rPr>
              <w:color w:val="auto"/>
              <w:sz w:val="32"/>
              <w:szCs w:val="32"/>
            </w:rPr>
            <w:fldChar w:fldCharType="separate"/>
          </w:r>
          <w:r>
            <w:rPr>
              <w:color w:val="auto"/>
            </w:rPr>
            <w:fldChar w:fldCharType="begin"/>
          </w:r>
          <w:r>
            <w:rPr>
              <w:color w:val="auto"/>
            </w:rPr>
            <w:instrText xml:space="preserve"> HYPERLINK \l "_Toc19205" </w:instrText>
          </w:r>
          <w:r>
            <w:rPr>
              <w:color w:val="auto"/>
            </w:rPr>
            <w:fldChar w:fldCharType="separate"/>
          </w:r>
          <w:r>
            <w:rPr>
              <w:rFonts w:hint="eastAsia" w:ascii="仿宋" w:hAnsi="仿宋" w:eastAsia="仿宋" w:cs="仿宋"/>
              <w:color w:val="auto"/>
              <w:sz w:val="28"/>
              <w:szCs w:val="28"/>
            </w:rPr>
            <w:t>第一篇  采购邀请书</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_Toc19205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5"/>
            <w:tabs>
              <w:tab w:val="right" w:leader="dot" w:pos="9071"/>
            </w:tabs>
            <w:spacing w:line="500" w:lineRule="exact"/>
            <w:rPr>
              <w:rFonts w:ascii="仿宋" w:hAnsi="仿宋" w:eastAsia="仿宋" w:cs="仿宋"/>
              <w:color w:val="auto"/>
              <w:sz w:val="28"/>
              <w:szCs w:val="28"/>
            </w:rPr>
          </w:pPr>
          <w:r>
            <w:rPr>
              <w:color w:val="auto"/>
            </w:rPr>
            <w:fldChar w:fldCharType="begin"/>
          </w:r>
          <w:r>
            <w:rPr>
              <w:color w:val="auto"/>
            </w:rPr>
            <w:instrText xml:space="preserve"> HYPERLINK \l "_Toc13326" </w:instrText>
          </w:r>
          <w:r>
            <w:rPr>
              <w:color w:val="auto"/>
            </w:rPr>
            <w:fldChar w:fldCharType="separate"/>
          </w:r>
          <w:r>
            <w:rPr>
              <w:rFonts w:hint="eastAsia" w:ascii="仿宋" w:hAnsi="仿宋" w:eastAsia="仿宋" w:cs="仿宋"/>
              <w:color w:val="auto"/>
              <w:sz w:val="28"/>
              <w:szCs w:val="28"/>
            </w:rPr>
            <w:t>第二篇  项目服务需求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_Toc13326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5"/>
            <w:tabs>
              <w:tab w:val="right" w:leader="dot" w:pos="9071"/>
            </w:tabs>
            <w:spacing w:line="500" w:lineRule="exact"/>
            <w:rPr>
              <w:rFonts w:ascii="仿宋" w:hAnsi="仿宋" w:eastAsia="仿宋" w:cs="仿宋"/>
              <w:color w:val="auto"/>
              <w:sz w:val="28"/>
              <w:szCs w:val="28"/>
            </w:rPr>
          </w:pPr>
          <w:r>
            <w:rPr>
              <w:color w:val="auto"/>
            </w:rPr>
            <w:fldChar w:fldCharType="begin"/>
          </w:r>
          <w:r>
            <w:rPr>
              <w:color w:val="auto"/>
            </w:rPr>
            <w:instrText xml:space="preserve"> HYPERLINK \l "_Toc25961" </w:instrText>
          </w:r>
          <w:r>
            <w:rPr>
              <w:color w:val="auto"/>
            </w:rPr>
            <w:fldChar w:fldCharType="separate"/>
          </w:r>
          <w:r>
            <w:rPr>
              <w:rFonts w:hint="eastAsia" w:ascii="仿宋" w:hAnsi="仿宋" w:eastAsia="仿宋" w:cs="仿宋"/>
              <w:color w:val="auto"/>
              <w:sz w:val="28"/>
              <w:szCs w:val="28"/>
            </w:rPr>
            <w:t>第三篇  项目商务需求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_Toc25961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5"/>
            <w:tabs>
              <w:tab w:val="right" w:leader="dot" w:pos="9071"/>
            </w:tabs>
            <w:spacing w:line="500" w:lineRule="exact"/>
            <w:rPr>
              <w:rFonts w:ascii="仿宋" w:hAnsi="仿宋" w:eastAsia="仿宋" w:cs="仿宋"/>
              <w:color w:val="auto"/>
              <w:sz w:val="28"/>
              <w:szCs w:val="28"/>
            </w:rPr>
          </w:pPr>
          <w:r>
            <w:rPr>
              <w:color w:val="auto"/>
            </w:rPr>
            <w:fldChar w:fldCharType="begin"/>
          </w:r>
          <w:r>
            <w:rPr>
              <w:color w:val="auto"/>
            </w:rPr>
            <w:instrText xml:space="preserve"> HYPERLINK \l "_Toc10712" </w:instrText>
          </w:r>
          <w:r>
            <w:rPr>
              <w:color w:val="auto"/>
            </w:rPr>
            <w:fldChar w:fldCharType="separate"/>
          </w:r>
          <w:r>
            <w:rPr>
              <w:rFonts w:hint="eastAsia" w:ascii="仿宋" w:hAnsi="仿宋" w:eastAsia="仿宋" w:cs="仿宋"/>
              <w:color w:val="auto"/>
              <w:sz w:val="28"/>
              <w:szCs w:val="28"/>
            </w:rPr>
            <w:t>第四篇  磋商程序及方法、评审标准、无效响应和采购终止</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_Toc10712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5"/>
            <w:tabs>
              <w:tab w:val="right" w:leader="dot" w:pos="9071"/>
            </w:tabs>
            <w:spacing w:line="500" w:lineRule="exact"/>
            <w:rPr>
              <w:rFonts w:ascii="仿宋" w:hAnsi="仿宋" w:eastAsia="仿宋" w:cs="仿宋"/>
              <w:color w:val="auto"/>
              <w:sz w:val="28"/>
              <w:szCs w:val="28"/>
            </w:rPr>
          </w:pPr>
          <w:r>
            <w:rPr>
              <w:color w:val="auto"/>
            </w:rPr>
            <w:fldChar w:fldCharType="begin"/>
          </w:r>
          <w:r>
            <w:rPr>
              <w:color w:val="auto"/>
            </w:rPr>
            <w:instrText xml:space="preserve"> HYPERLINK \l "_Toc15887" </w:instrText>
          </w:r>
          <w:r>
            <w:rPr>
              <w:color w:val="auto"/>
            </w:rPr>
            <w:fldChar w:fldCharType="separate"/>
          </w:r>
          <w:r>
            <w:rPr>
              <w:rFonts w:hint="eastAsia" w:ascii="仿宋" w:hAnsi="仿宋" w:eastAsia="仿宋" w:cs="仿宋"/>
              <w:color w:val="auto"/>
              <w:sz w:val="28"/>
              <w:szCs w:val="28"/>
            </w:rPr>
            <w:t>第五篇  供应商须知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_Toc15887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5"/>
            <w:tabs>
              <w:tab w:val="right" w:leader="dot" w:pos="9071"/>
            </w:tabs>
            <w:spacing w:line="500" w:lineRule="exact"/>
            <w:rPr>
              <w:rFonts w:ascii="仿宋" w:hAnsi="仿宋" w:eastAsia="仿宋" w:cs="仿宋"/>
              <w:color w:val="auto"/>
              <w:sz w:val="28"/>
              <w:szCs w:val="28"/>
            </w:rPr>
          </w:pPr>
          <w:r>
            <w:rPr>
              <w:color w:val="auto"/>
            </w:rPr>
            <w:fldChar w:fldCharType="begin"/>
          </w:r>
          <w:r>
            <w:rPr>
              <w:color w:val="auto"/>
            </w:rPr>
            <w:instrText xml:space="preserve"> HYPERLINK \l "_Toc1330" </w:instrText>
          </w:r>
          <w:r>
            <w:rPr>
              <w:color w:val="auto"/>
            </w:rPr>
            <w:fldChar w:fldCharType="separate"/>
          </w:r>
          <w:r>
            <w:rPr>
              <w:rFonts w:hint="eastAsia" w:ascii="仿宋" w:hAnsi="仿宋" w:eastAsia="仿宋" w:cs="仿宋"/>
              <w:color w:val="auto"/>
              <w:sz w:val="28"/>
              <w:szCs w:val="28"/>
            </w:rPr>
            <w:t>第六篇  合同草案条款（样本格式）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_Toc1330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5"/>
            <w:tabs>
              <w:tab w:val="right" w:leader="dot" w:pos="9071"/>
            </w:tabs>
            <w:spacing w:line="500" w:lineRule="exact"/>
            <w:rPr>
              <w:color w:val="auto"/>
              <w:sz w:val="32"/>
              <w:szCs w:val="32"/>
            </w:rPr>
          </w:pPr>
          <w:r>
            <w:rPr>
              <w:color w:val="auto"/>
            </w:rPr>
            <w:fldChar w:fldCharType="begin"/>
          </w:r>
          <w:r>
            <w:rPr>
              <w:color w:val="auto"/>
            </w:rPr>
            <w:instrText xml:space="preserve"> HYPERLINK \l "_Toc26447" </w:instrText>
          </w:r>
          <w:r>
            <w:rPr>
              <w:color w:val="auto"/>
            </w:rPr>
            <w:fldChar w:fldCharType="separate"/>
          </w:r>
          <w:r>
            <w:rPr>
              <w:rFonts w:hint="eastAsia" w:ascii="仿宋" w:hAnsi="仿宋" w:eastAsia="仿宋" w:cs="仿宋"/>
              <w:color w:val="auto"/>
              <w:sz w:val="28"/>
              <w:szCs w:val="28"/>
            </w:rPr>
            <w:t>第七篇  响应文件编制要求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_Toc26447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spacing w:line="500" w:lineRule="exact"/>
            <w:rPr>
              <w:rFonts w:ascii="方正小标宋_GBK" w:eastAsia="方正小标宋_GBK"/>
              <w:color w:val="auto"/>
              <w:sz w:val="36"/>
            </w:rPr>
            <w:sectPr>
              <w:footerReference r:id="rId4" w:type="default"/>
              <w:pgSz w:w="11907" w:h="16840"/>
              <w:pgMar w:top="1134" w:right="1418" w:bottom="1134" w:left="1418" w:header="964" w:footer="992" w:gutter="0"/>
              <w:cols w:space="720" w:num="1"/>
              <w:docGrid w:linePitch="312" w:charSpace="0"/>
            </w:sectPr>
          </w:pPr>
          <w:r>
            <w:rPr>
              <w:color w:val="auto"/>
              <w:sz w:val="32"/>
              <w:szCs w:val="32"/>
            </w:rPr>
            <w:fldChar w:fldCharType="end"/>
          </w:r>
        </w:p>
      </w:sdtContent>
    </w:sdt>
    <w:p>
      <w:pPr>
        <w:keepNext/>
        <w:keepLines/>
        <w:snapToGrid w:val="0"/>
        <w:spacing w:before="260" w:after="260" w:line="360" w:lineRule="auto"/>
        <w:jc w:val="center"/>
        <w:outlineLvl w:val="0"/>
        <w:rPr>
          <w:rFonts w:ascii="方正小标宋_GBK" w:eastAsia="方正小标宋_GBK"/>
          <w:color w:val="auto"/>
          <w:sz w:val="32"/>
        </w:rPr>
      </w:pPr>
      <w:bookmarkStart w:id="1" w:name="_Toc19205"/>
      <w:r>
        <w:rPr>
          <w:rFonts w:hint="eastAsia" w:ascii="方正小标宋_GBK" w:eastAsia="方正小标宋_GBK"/>
          <w:color w:val="auto"/>
          <w:sz w:val="36"/>
        </w:rPr>
        <w:t>第一篇  采购邀请书</w:t>
      </w:r>
      <w:bookmarkEnd w:id="0"/>
      <w:bookmarkEnd w:id="1"/>
    </w:p>
    <w:p>
      <w:pPr>
        <w:snapToGrid w:val="0"/>
        <w:spacing w:line="500" w:lineRule="exact"/>
        <w:ind w:firstLine="480"/>
        <w:rPr>
          <w:rFonts w:ascii="仿宋" w:hAnsi="仿宋" w:eastAsia="仿宋" w:cs="仿宋"/>
          <w:color w:val="auto"/>
          <w:sz w:val="24"/>
        </w:rPr>
      </w:pPr>
      <w:r>
        <w:rPr>
          <w:rFonts w:hint="eastAsia" w:ascii="仿宋" w:hAnsi="仿宋" w:eastAsia="仿宋" w:cs="仿宋"/>
          <w:color w:val="auto"/>
          <w:sz w:val="24"/>
          <w:u w:val="single"/>
        </w:rPr>
        <w:t>重庆市建标工程技术有限公司</w:t>
      </w:r>
      <w:r>
        <w:rPr>
          <w:rFonts w:hint="eastAsia" w:ascii="仿宋" w:hAnsi="仿宋" w:eastAsia="仿宋" w:cs="仿宋"/>
          <w:color w:val="auto"/>
          <w:sz w:val="24"/>
        </w:rPr>
        <w:t>（以下简称：采购代理机构）受</w:t>
      </w:r>
      <w:r>
        <w:rPr>
          <w:rFonts w:hint="eastAsia" w:ascii="仿宋" w:hAnsi="仿宋" w:eastAsia="仿宋" w:cs="仿宋"/>
          <w:color w:val="auto"/>
          <w:sz w:val="24"/>
          <w:u w:val="single"/>
        </w:rPr>
        <w:t>重庆市住房和城乡建设技术发展中心（重庆市建筑节能中心）</w:t>
      </w:r>
      <w:r>
        <w:rPr>
          <w:rFonts w:hint="eastAsia" w:ascii="仿宋" w:hAnsi="仿宋" w:eastAsia="仿宋" w:cs="仿宋"/>
          <w:color w:val="auto"/>
          <w:sz w:val="24"/>
        </w:rPr>
        <w:t>（以下简称：采购人）的委托，对</w:t>
      </w:r>
      <w:r>
        <w:rPr>
          <w:rFonts w:hint="eastAsia" w:ascii="仿宋" w:hAnsi="仿宋" w:eastAsia="仿宋" w:cs="仿宋"/>
          <w:color w:val="auto"/>
          <w:sz w:val="24"/>
          <w:u w:val="single"/>
        </w:rPr>
        <w:t>第二届川渝住房城乡建设博览会重庆主题展馆及序馆设计方案供应商备选入围项目</w:t>
      </w:r>
      <w:r>
        <w:rPr>
          <w:rFonts w:hint="eastAsia" w:ascii="仿宋" w:hAnsi="仿宋" w:eastAsia="仿宋" w:cs="仿宋"/>
          <w:color w:val="auto"/>
          <w:sz w:val="24"/>
        </w:rPr>
        <w:t>进行竞争性磋商采购。欢迎有资格的供应商前来参与磋商。</w:t>
      </w:r>
    </w:p>
    <w:p>
      <w:pPr>
        <w:keepNext/>
        <w:keepLines/>
        <w:snapToGrid w:val="0"/>
        <w:spacing w:line="500" w:lineRule="exact"/>
        <w:outlineLvl w:val="1"/>
        <w:rPr>
          <w:rFonts w:ascii="方正仿宋_GBK" w:hAnsi="Times New Roman" w:eastAsia="方正仿宋_GBK"/>
          <w:b/>
          <w:color w:val="auto"/>
          <w:sz w:val="24"/>
        </w:rPr>
      </w:pPr>
      <w:bookmarkStart w:id="2" w:name="_Toc28811"/>
      <w:r>
        <w:rPr>
          <w:rFonts w:hint="eastAsia" w:ascii="方正仿宋_GBK" w:hAnsi="Times New Roman" w:eastAsia="方正仿宋_GBK"/>
          <w:b/>
          <w:color w:val="auto"/>
          <w:sz w:val="24"/>
        </w:rPr>
        <w:t>一、</w:t>
      </w:r>
      <w:r>
        <w:rPr>
          <w:rFonts w:hint="eastAsia" w:ascii="方正仿宋_GBK" w:eastAsia="方正仿宋_GBK"/>
          <w:b/>
          <w:color w:val="auto"/>
          <w:sz w:val="24"/>
        </w:rPr>
        <w:t>竞争性磋商</w:t>
      </w:r>
      <w:r>
        <w:rPr>
          <w:rFonts w:hint="eastAsia" w:ascii="方正仿宋_GBK" w:hAnsi="Times New Roman" w:eastAsia="方正仿宋_GBK"/>
          <w:b/>
          <w:color w:val="auto"/>
          <w:sz w:val="24"/>
        </w:rPr>
        <w:t>内容</w:t>
      </w:r>
      <w:bookmarkEnd w:id="2"/>
    </w:p>
    <w:tbl>
      <w:tblPr>
        <w:tblStyle w:val="7"/>
        <w:tblW w:w="10071" w:type="dxa"/>
        <w:jc w:val="center"/>
        <w:tblLayout w:type="fixed"/>
        <w:tblCellMar>
          <w:top w:w="0" w:type="dxa"/>
          <w:left w:w="0" w:type="dxa"/>
          <w:bottom w:w="0" w:type="dxa"/>
          <w:right w:w="0" w:type="dxa"/>
        </w:tblCellMar>
      </w:tblPr>
      <w:tblGrid>
        <w:gridCol w:w="2217"/>
        <w:gridCol w:w="1161"/>
        <w:gridCol w:w="1213"/>
        <w:gridCol w:w="1369"/>
        <w:gridCol w:w="1657"/>
        <w:gridCol w:w="2454"/>
      </w:tblGrid>
      <w:tr>
        <w:tblPrEx>
          <w:tblCellMar>
            <w:top w:w="0" w:type="dxa"/>
            <w:left w:w="0" w:type="dxa"/>
            <w:bottom w:w="0" w:type="dxa"/>
            <w:right w:w="0" w:type="dxa"/>
          </w:tblCellMar>
        </w:tblPrEx>
        <w:trPr>
          <w:trHeight w:val="640" w:hRule="atLeast"/>
          <w:jc w:val="center"/>
        </w:trPr>
        <w:tc>
          <w:tcPr>
            <w:tcW w:w="22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500" w:lineRule="exact"/>
              <w:jc w:val="center"/>
              <w:rPr>
                <w:rFonts w:ascii="方正仿宋_GBK" w:eastAsia="方正仿宋_GBK"/>
                <w:b/>
                <w:color w:val="auto"/>
                <w:sz w:val="21"/>
              </w:rPr>
            </w:pPr>
            <w:r>
              <w:rPr>
                <w:rFonts w:hint="eastAsia" w:ascii="方正仿宋_GBK" w:eastAsia="方正仿宋_GBK"/>
                <w:b/>
                <w:color w:val="auto"/>
                <w:sz w:val="21"/>
              </w:rPr>
              <w:t>项目名称</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方正仿宋_GBK" w:eastAsia="方正仿宋_GBK"/>
                <w:b/>
                <w:color w:val="auto"/>
                <w:sz w:val="21"/>
              </w:rPr>
            </w:pPr>
            <w:r>
              <w:rPr>
                <w:rFonts w:hint="eastAsia" w:ascii="方正仿宋_GBK" w:eastAsia="方正仿宋_GBK"/>
                <w:b/>
                <w:color w:val="auto"/>
                <w:sz w:val="21"/>
              </w:rPr>
              <w:t>采购预算</w:t>
            </w: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ascii="方正仿宋_GBK" w:eastAsia="方正仿宋_GBK"/>
                <w:b/>
                <w:color w:val="auto"/>
                <w:sz w:val="21"/>
              </w:rPr>
            </w:pPr>
            <w:r>
              <w:rPr>
                <w:rFonts w:hint="eastAsia" w:ascii="方正仿宋_GBK" w:eastAsia="方正仿宋_GBK"/>
                <w:b/>
                <w:color w:val="auto"/>
                <w:sz w:val="21"/>
              </w:rPr>
              <w:t>（万元）</w:t>
            </w: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ascii="方正仿宋_GBK" w:eastAsia="方正仿宋_GBK"/>
                <w:b/>
                <w:color w:val="auto"/>
                <w:sz w:val="21"/>
              </w:rPr>
            </w:pPr>
            <w:r>
              <w:rPr>
                <w:rFonts w:hint="eastAsia" w:ascii="方正仿宋_GBK" w:eastAsia="方正仿宋_GBK"/>
                <w:b/>
                <w:color w:val="auto"/>
                <w:sz w:val="21"/>
              </w:rPr>
              <w:t>最高限价（万元）</w:t>
            </w:r>
          </w:p>
        </w:tc>
        <w:tc>
          <w:tcPr>
            <w:tcW w:w="13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ascii="方正仿宋_GBK" w:eastAsia="方正仿宋_GBK"/>
                <w:b/>
                <w:color w:val="auto"/>
                <w:sz w:val="21"/>
              </w:rPr>
            </w:pPr>
            <w:r>
              <w:rPr>
                <w:rFonts w:hint="eastAsia" w:ascii="方正仿宋_GBK" w:eastAsia="方正仿宋_GBK"/>
                <w:b/>
                <w:color w:val="auto"/>
                <w:sz w:val="21"/>
              </w:rPr>
              <w:t>投标保证金</w:t>
            </w: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ascii="方正仿宋_GBK" w:eastAsia="方正仿宋_GBK"/>
                <w:b/>
                <w:color w:val="auto"/>
                <w:sz w:val="21"/>
              </w:rPr>
            </w:pPr>
            <w:r>
              <w:rPr>
                <w:rFonts w:hint="eastAsia" w:ascii="方正仿宋_GBK" w:eastAsia="方正仿宋_GBK"/>
                <w:b/>
                <w:color w:val="auto"/>
                <w:sz w:val="21"/>
              </w:rPr>
              <w:t>（万元）</w:t>
            </w:r>
          </w:p>
        </w:tc>
        <w:tc>
          <w:tcPr>
            <w:tcW w:w="1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ascii="方正仿宋_GBK" w:eastAsia="方正仿宋_GBK"/>
                <w:b/>
                <w:color w:val="auto"/>
                <w:sz w:val="21"/>
              </w:rPr>
            </w:pPr>
            <w:r>
              <w:rPr>
                <w:rFonts w:hint="eastAsia" w:ascii="方正仿宋_GBK" w:eastAsia="方正仿宋_GBK"/>
                <w:b/>
                <w:color w:val="auto"/>
                <w:sz w:val="21"/>
              </w:rPr>
              <w:t>入围成交候选供应商数量（名）</w:t>
            </w:r>
          </w:p>
        </w:tc>
        <w:tc>
          <w:tcPr>
            <w:tcW w:w="2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500" w:lineRule="exact"/>
              <w:jc w:val="center"/>
              <w:rPr>
                <w:rFonts w:hint="eastAsia" w:ascii="方正仿宋_GBK" w:eastAsia="方正仿宋_GBK"/>
                <w:b/>
                <w:color w:val="auto"/>
                <w:sz w:val="21"/>
                <w:lang w:val="en-US" w:eastAsia="zh-CN"/>
              </w:rPr>
            </w:pPr>
            <w:r>
              <w:rPr>
                <w:rFonts w:hint="eastAsia" w:ascii="方正仿宋_GBK" w:eastAsia="方正仿宋_GBK"/>
                <w:b/>
                <w:color w:val="auto"/>
                <w:sz w:val="21"/>
                <w:lang w:val="en-US" w:eastAsia="zh-CN"/>
              </w:rPr>
              <w:t>备注</w:t>
            </w:r>
          </w:p>
        </w:tc>
      </w:tr>
      <w:tr>
        <w:tblPrEx>
          <w:tblCellMar>
            <w:top w:w="0" w:type="dxa"/>
            <w:left w:w="0" w:type="dxa"/>
            <w:bottom w:w="0" w:type="dxa"/>
            <w:right w:w="0" w:type="dxa"/>
          </w:tblCellMar>
        </w:tblPrEx>
        <w:trPr>
          <w:trHeight w:val="616" w:hRule="atLeast"/>
          <w:jc w:val="center"/>
        </w:trPr>
        <w:tc>
          <w:tcPr>
            <w:tcW w:w="22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500" w:lineRule="exact"/>
              <w:jc w:val="center"/>
              <w:rPr>
                <w:rFonts w:ascii="方正仿宋_GBK" w:hAnsi="方正仿宋_GBK" w:eastAsia="方正仿宋_GBK"/>
                <w:color w:val="auto"/>
                <w:sz w:val="21"/>
              </w:rPr>
            </w:pPr>
            <w:r>
              <w:rPr>
                <w:rFonts w:hint="eastAsia" w:ascii="方正仿宋_GBK" w:eastAsia="方正仿宋_GBK"/>
                <w:color w:val="auto"/>
                <w:sz w:val="21"/>
              </w:rPr>
              <w:t>第二届川渝住房城乡建设博览会重庆主题展馆及序馆设计方案供应商备选入围项目</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500" w:lineRule="exact"/>
              <w:jc w:val="center"/>
              <w:rPr>
                <w:rFonts w:eastAsia="方正仿宋_GBK"/>
                <w:color w:val="auto"/>
                <w:sz w:val="21"/>
              </w:rPr>
            </w:pPr>
            <w:r>
              <w:rPr>
                <w:rFonts w:hint="eastAsia" w:ascii="方正仿宋_GBK" w:eastAsia="方正仿宋_GBK"/>
                <w:color w:val="auto"/>
                <w:sz w:val="21"/>
              </w:rPr>
              <w:t>10</w:t>
            </w: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500" w:lineRule="exact"/>
              <w:jc w:val="center"/>
              <w:rPr>
                <w:rFonts w:eastAsia="方正仿宋_GBK"/>
                <w:color w:val="auto"/>
                <w:sz w:val="21"/>
              </w:rPr>
            </w:pPr>
            <w:r>
              <w:rPr>
                <w:rFonts w:hint="eastAsia" w:ascii="方正仿宋_GBK" w:eastAsia="方正仿宋_GBK"/>
                <w:color w:val="auto"/>
                <w:sz w:val="21"/>
              </w:rPr>
              <w:t>10</w:t>
            </w:r>
          </w:p>
        </w:tc>
        <w:tc>
          <w:tcPr>
            <w:tcW w:w="13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500" w:lineRule="exact"/>
              <w:jc w:val="center"/>
              <w:rPr>
                <w:rFonts w:ascii="仿宋" w:hAnsi="仿宋" w:eastAsia="仿宋"/>
                <w:color w:val="auto"/>
                <w:sz w:val="21"/>
              </w:rPr>
            </w:pPr>
            <w:r>
              <w:rPr>
                <w:rFonts w:hint="eastAsia" w:ascii="仿宋" w:hAnsi="仿宋" w:eastAsia="仿宋"/>
                <w:color w:val="auto"/>
                <w:sz w:val="21"/>
              </w:rPr>
              <w:t>0.2</w:t>
            </w:r>
          </w:p>
        </w:tc>
        <w:tc>
          <w:tcPr>
            <w:tcW w:w="1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500" w:lineRule="exact"/>
              <w:jc w:val="center"/>
              <w:rPr>
                <w:rFonts w:hint="eastAsia" w:ascii="方正仿宋_GBK" w:eastAsia="方正仿宋_GBK"/>
                <w:color w:val="auto"/>
                <w:sz w:val="21"/>
                <w:lang w:eastAsia="zh-CN"/>
              </w:rPr>
            </w:pPr>
            <w:r>
              <w:rPr>
                <w:rFonts w:hint="eastAsia" w:ascii="方正仿宋_GBK" w:eastAsia="方正仿宋_GBK"/>
                <w:color w:val="auto"/>
                <w:sz w:val="21"/>
                <w:lang w:val="en-US" w:eastAsia="zh-CN"/>
              </w:rPr>
              <w:t>3</w:t>
            </w:r>
          </w:p>
        </w:tc>
        <w:tc>
          <w:tcPr>
            <w:tcW w:w="2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500" w:lineRule="exact"/>
              <w:jc w:val="left"/>
              <w:rPr>
                <w:rFonts w:hint="eastAsia" w:ascii="方正仿宋_GBK" w:eastAsia="方正仿宋_GBK"/>
                <w:color w:val="auto"/>
                <w:sz w:val="21"/>
                <w:lang w:val="en-US" w:eastAsia="zh-CN"/>
              </w:rPr>
            </w:pPr>
            <w:r>
              <w:rPr>
                <w:rFonts w:hint="eastAsia" w:ascii="仿宋" w:hAnsi="仿宋" w:eastAsia="仿宋" w:cs="宋体"/>
                <w:color w:val="auto"/>
                <w:kern w:val="0"/>
                <w:sz w:val="24"/>
                <w:szCs w:val="20"/>
                <w:lang w:val="en-US" w:eastAsia="zh-CN"/>
              </w:rPr>
              <w:t>本次采购</w:t>
            </w:r>
            <w:r>
              <w:rPr>
                <w:rFonts w:ascii="仿宋" w:hAnsi="仿宋" w:eastAsia="仿宋" w:cs="宋体"/>
                <w:color w:val="auto"/>
                <w:kern w:val="0"/>
                <w:sz w:val="24"/>
                <w:szCs w:val="20"/>
              </w:rPr>
              <w:t>入围候选供应商</w:t>
            </w:r>
            <w:r>
              <w:rPr>
                <w:rFonts w:hint="eastAsia" w:ascii="仿宋" w:hAnsi="仿宋" w:eastAsia="仿宋" w:cs="宋体"/>
                <w:color w:val="auto"/>
                <w:kern w:val="0"/>
                <w:sz w:val="24"/>
                <w:szCs w:val="20"/>
                <w:lang w:val="en-US" w:eastAsia="zh-CN"/>
              </w:rPr>
              <w:t>共3名，后续采购人将通过3家入围候选供应商递交的深度优化设计方案进行评审，择优确定1名成交供应商。</w:t>
            </w:r>
          </w:p>
        </w:tc>
      </w:tr>
    </w:tbl>
    <w:p>
      <w:pPr>
        <w:keepNext/>
        <w:keepLines/>
        <w:snapToGrid w:val="0"/>
        <w:spacing w:line="500" w:lineRule="exact"/>
        <w:outlineLvl w:val="1"/>
        <w:rPr>
          <w:rFonts w:ascii="方正仿宋_GBK" w:hAnsi="Times New Roman" w:eastAsia="方正仿宋_GBK"/>
          <w:b/>
          <w:color w:val="auto"/>
          <w:sz w:val="24"/>
        </w:rPr>
      </w:pPr>
      <w:bookmarkStart w:id="3" w:name="_Toc5080"/>
      <w:r>
        <w:rPr>
          <w:rFonts w:hint="eastAsia" w:ascii="方正仿宋_GBK" w:hAnsi="Times New Roman" w:eastAsia="方正仿宋_GBK"/>
          <w:b/>
          <w:color w:val="auto"/>
          <w:sz w:val="24"/>
        </w:rPr>
        <w:t>二、资金来源</w:t>
      </w:r>
      <w:bookmarkEnd w:id="3"/>
    </w:p>
    <w:p>
      <w:pPr>
        <w:snapToGrid w:val="0"/>
        <w:spacing w:line="500" w:lineRule="exact"/>
        <w:ind w:firstLine="480"/>
        <w:rPr>
          <w:rFonts w:ascii="方正仿宋_GBK" w:eastAsia="方正仿宋_GBK"/>
          <w:color w:val="auto"/>
          <w:sz w:val="24"/>
        </w:rPr>
      </w:pPr>
      <w:r>
        <w:rPr>
          <w:rFonts w:hint="eastAsia" w:ascii="方正仿宋_GBK" w:eastAsia="方正仿宋_GBK"/>
          <w:color w:val="auto"/>
          <w:sz w:val="24"/>
        </w:rPr>
        <w:t>自筹资金，采购预算为10万元。</w:t>
      </w:r>
    </w:p>
    <w:p>
      <w:pPr>
        <w:keepNext/>
        <w:keepLines/>
        <w:snapToGrid w:val="0"/>
        <w:spacing w:line="500" w:lineRule="exact"/>
        <w:outlineLvl w:val="1"/>
        <w:rPr>
          <w:rFonts w:ascii="方正仿宋_GBK" w:hAnsi="Times New Roman" w:eastAsia="方正仿宋_GBK"/>
          <w:b/>
          <w:color w:val="auto"/>
          <w:sz w:val="24"/>
        </w:rPr>
      </w:pPr>
      <w:bookmarkStart w:id="4" w:name="_Toc27527"/>
      <w:r>
        <w:rPr>
          <w:rFonts w:hint="eastAsia" w:ascii="方正仿宋_GBK" w:hAnsi="Times New Roman" w:eastAsia="方正仿宋_GBK"/>
          <w:b/>
          <w:color w:val="auto"/>
          <w:sz w:val="24"/>
        </w:rPr>
        <w:t>三、供应商资格条件</w:t>
      </w:r>
      <w:bookmarkEnd w:id="4"/>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（一）一般资格条件：</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1、具有独立承担民事责任的能力；</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2、具有良好的商业信誉和健全的财务会计制度；</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3、具有履行合同所必需的设备和专业技术能力；</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4、有依法缴纳税收和社会保障资金的良好记录；</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5、近三年内参加政府采购活动中没有重大违法记录（2019-2021</w:t>
      </w:r>
      <w:r>
        <w:rPr>
          <w:rFonts w:hint="eastAsia" w:ascii="仿宋" w:hAnsi="仿宋" w:eastAsia="仿宋"/>
          <w:color w:val="auto"/>
          <w:sz w:val="24"/>
          <w:lang w:val="en-US" w:eastAsia="zh-CN"/>
        </w:rPr>
        <w:t>年</w:t>
      </w:r>
      <w:r>
        <w:rPr>
          <w:rFonts w:hint="eastAsia" w:ascii="仿宋" w:hAnsi="仿宋" w:eastAsia="仿宋"/>
          <w:color w:val="auto"/>
          <w:sz w:val="24"/>
        </w:rPr>
        <w:t>）；</w:t>
      </w:r>
    </w:p>
    <w:p>
      <w:pPr>
        <w:snapToGrid w:val="0"/>
        <w:spacing w:line="500" w:lineRule="exact"/>
        <w:ind w:firstLine="480"/>
        <w:rPr>
          <w:rFonts w:hint="eastAsia" w:ascii="仿宋" w:hAnsi="仿宋" w:eastAsia="仿宋"/>
          <w:color w:val="auto"/>
          <w:sz w:val="24"/>
        </w:rPr>
      </w:pPr>
      <w:r>
        <w:rPr>
          <w:rFonts w:hint="eastAsia" w:ascii="仿宋" w:hAnsi="仿宋" w:eastAsia="仿宋"/>
          <w:color w:val="auto"/>
          <w:sz w:val="24"/>
        </w:rPr>
        <w:t>6、法律、行政法规规定的其他条件。</w:t>
      </w:r>
    </w:p>
    <w:p>
      <w:pPr>
        <w:snapToGrid w:val="0"/>
        <w:spacing w:line="500" w:lineRule="exact"/>
        <w:ind w:firstLine="480"/>
        <w:rPr>
          <w:rFonts w:hint="eastAsia" w:ascii="仿宋" w:hAnsi="仿宋" w:eastAsia="仿宋"/>
          <w:color w:val="auto"/>
          <w:sz w:val="24"/>
        </w:rPr>
      </w:pP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（二）特定资格条件</w:t>
      </w:r>
    </w:p>
    <w:p>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投标供应商</w:t>
      </w:r>
      <w:r>
        <w:rPr>
          <w:rFonts w:ascii="仿宋" w:hAnsi="仿宋" w:eastAsia="仿宋"/>
          <w:color w:val="auto"/>
          <w:sz w:val="24"/>
        </w:rPr>
        <w:t>业绩要求</w:t>
      </w:r>
      <w:r>
        <w:rPr>
          <w:rFonts w:hint="eastAsia" w:ascii="仿宋" w:hAnsi="仿宋" w:eastAsia="仿宋"/>
          <w:color w:val="auto"/>
          <w:sz w:val="24"/>
        </w:rPr>
        <w:t>，供应商须满足以下要求其中之一：</w:t>
      </w:r>
    </w:p>
    <w:p>
      <w:pPr>
        <w:snapToGrid w:val="0"/>
        <w:spacing w:line="500" w:lineRule="exact"/>
        <w:ind w:firstLine="480" w:firstLineChars="200"/>
        <w:rPr>
          <w:rFonts w:ascii="仿宋" w:hAnsi="仿宋" w:eastAsia="仿宋"/>
          <w:color w:val="auto"/>
          <w:sz w:val="24"/>
        </w:rPr>
      </w:pPr>
      <w:r>
        <w:rPr>
          <w:rFonts w:ascii="仿宋" w:hAnsi="仿宋" w:eastAsia="仿宋"/>
          <w:color w:val="auto"/>
          <w:sz w:val="24"/>
        </w:rPr>
        <w:t>①</w:t>
      </w:r>
      <w:r>
        <w:rPr>
          <w:rFonts w:hint="eastAsia" w:ascii="仿宋" w:hAnsi="仿宋" w:eastAsia="仿宋"/>
          <w:color w:val="auto"/>
          <w:sz w:val="24"/>
        </w:rPr>
        <w:t>至少设计过</w:t>
      </w:r>
      <w:r>
        <w:rPr>
          <w:rFonts w:hint="eastAsia" w:ascii="仿宋" w:hAnsi="仿宋" w:eastAsia="仿宋"/>
          <w:color w:val="auto"/>
          <w:sz w:val="24"/>
          <w:lang w:val="en-US" w:eastAsia="zh-CN"/>
        </w:rPr>
        <w:t>2</w:t>
      </w:r>
      <w:r>
        <w:rPr>
          <w:rFonts w:hint="eastAsia" w:ascii="仿宋" w:hAnsi="仿宋" w:eastAsia="仿宋"/>
          <w:color w:val="auto"/>
          <w:sz w:val="24"/>
        </w:rPr>
        <w:t>个</w:t>
      </w:r>
      <w:r>
        <w:rPr>
          <w:rFonts w:hint="eastAsia" w:ascii="仿宋" w:hAnsi="仿宋" w:eastAsia="仿宋" w:cs="仿宋"/>
          <w:color w:val="auto"/>
          <w:sz w:val="24"/>
          <w:szCs w:val="24"/>
          <w:highlight w:val="none"/>
        </w:rPr>
        <w:t>地级市（直辖市的区县）及以上级别</w:t>
      </w:r>
      <w:r>
        <w:rPr>
          <w:rFonts w:hint="eastAsia" w:ascii="仿宋" w:hAnsi="仿宋" w:eastAsia="仿宋"/>
          <w:color w:val="auto"/>
          <w:sz w:val="24"/>
        </w:rPr>
        <w:t>单位主办的大型展会，展台面积在100平方以上的展台设计，且设计单项合同金额不低于</w:t>
      </w:r>
      <w:r>
        <w:rPr>
          <w:rFonts w:hint="eastAsia" w:ascii="仿宋" w:hAnsi="仿宋" w:eastAsia="仿宋"/>
          <w:color w:val="auto"/>
          <w:sz w:val="24"/>
          <w:lang w:val="en-US" w:eastAsia="zh-CN"/>
        </w:rPr>
        <w:t>3</w:t>
      </w:r>
      <w:r>
        <w:rPr>
          <w:rFonts w:hint="eastAsia" w:ascii="仿宋" w:hAnsi="仿宋" w:eastAsia="仿宋"/>
          <w:color w:val="auto"/>
          <w:sz w:val="24"/>
        </w:rPr>
        <w:t>万元；</w:t>
      </w:r>
    </w:p>
    <w:p>
      <w:pPr>
        <w:snapToGrid w:val="0"/>
        <w:spacing w:line="500" w:lineRule="exact"/>
        <w:ind w:firstLine="480" w:firstLineChars="200"/>
        <w:rPr>
          <w:rFonts w:ascii="仿宋" w:hAnsi="仿宋" w:eastAsia="仿宋"/>
          <w:color w:val="auto"/>
          <w:sz w:val="24"/>
        </w:rPr>
      </w:pPr>
      <w:r>
        <w:rPr>
          <w:rFonts w:ascii="仿宋" w:hAnsi="仿宋" w:eastAsia="仿宋"/>
          <w:color w:val="auto"/>
          <w:sz w:val="24"/>
        </w:rPr>
        <w:t>②</w:t>
      </w:r>
      <w:r>
        <w:rPr>
          <w:rFonts w:hint="eastAsia" w:ascii="仿宋" w:hAnsi="仿宋" w:eastAsia="仿宋"/>
          <w:color w:val="auto"/>
          <w:sz w:val="24"/>
        </w:rPr>
        <w:t>至少承接过</w:t>
      </w:r>
      <w:r>
        <w:rPr>
          <w:rFonts w:hint="eastAsia" w:ascii="仿宋" w:hAnsi="仿宋" w:eastAsia="仿宋"/>
          <w:color w:val="auto"/>
          <w:sz w:val="24"/>
          <w:lang w:val="en-US" w:eastAsia="zh-CN"/>
        </w:rPr>
        <w:t>2</w:t>
      </w:r>
      <w:r>
        <w:rPr>
          <w:rFonts w:hint="eastAsia" w:ascii="仿宋" w:hAnsi="仿宋" w:eastAsia="仿宋"/>
          <w:color w:val="auto"/>
          <w:sz w:val="24"/>
        </w:rPr>
        <w:t>个</w:t>
      </w:r>
      <w:r>
        <w:rPr>
          <w:rFonts w:hint="eastAsia" w:ascii="仿宋" w:hAnsi="仿宋" w:eastAsia="仿宋"/>
          <w:color w:val="auto"/>
          <w:sz w:val="24"/>
          <w:lang w:eastAsia="zh-CN"/>
        </w:rPr>
        <w:t>地级市（直辖市的区县）及以上级别</w:t>
      </w:r>
      <w:r>
        <w:rPr>
          <w:rFonts w:hint="eastAsia" w:ascii="仿宋" w:hAnsi="仿宋" w:eastAsia="仿宋"/>
          <w:color w:val="auto"/>
          <w:sz w:val="24"/>
        </w:rPr>
        <w:t>单位主办的大型展会，设计搭建（施工）一体化单项合同金额不低于50万元的业绩。</w:t>
      </w:r>
    </w:p>
    <w:p>
      <w:pPr>
        <w:snapToGrid w:val="0"/>
        <w:spacing w:line="500" w:lineRule="exact"/>
        <w:ind w:firstLine="480" w:firstLineChars="200"/>
        <w:rPr>
          <w:rFonts w:ascii="仿宋" w:hAnsi="仿宋" w:eastAsia="仿宋"/>
          <w:color w:val="auto"/>
          <w:sz w:val="24"/>
        </w:rPr>
      </w:pPr>
      <w:r>
        <w:rPr>
          <w:rFonts w:ascii="仿宋" w:hAnsi="仿宋" w:eastAsia="仿宋"/>
          <w:color w:val="auto"/>
          <w:sz w:val="24"/>
        </w:rPr>
        <w:t>（需附合同复印件并加盖公章）</w:t>
      </w:r>
      <w:r>
        <w:rPr>
          <w:rFonts w:hint="eastAsia" w:ascii="仿宋" w:hAnsi="仿宋" w:eastAsia="仿宋"/>
          <w:color w:val="auto"/>
          <w:sz w:val="24"/>
        </w:rPr>
        <w:t>。</w:t>
      </w:r>
    </w:p>
    <w:p>
      <w:pPr>
        <w:keepNext/>
        <w:keepLines/>
        <w:snapToGrid w:val="0"/>
        <w:spacing w:line="500" w:lineRule="exact"/>
        <w:outlineLvl w:val="1"/>
        <w:rPr>
          <w:rFonts w:ascii="方正仿宋_GBK" w:hAnsi="Times New Roman" w:eastAsia="方正仿宋_GBK"/>
          <w:b/>
          <w:color w:val="auto"/>
          <w:sz w:val="24"/>
        </w:rPr>
      </w:pPr>
      <w:bookmarkStart w:id="5" w:name="_Toc26660"/>
      <w:r>
        <w:rPr>
          <w:rFonts w:hint="eastAsia" w:ascii="方正仿宋_GBK" w:hAnsi="Times New Roman" w:eastAsia="方正仿宋_GBK"/>
          <w:b/>
          <w:color w:val="auto"/>
          <w:sz w:val="24"/>
        </w:rPr>
        <w:t>四、磋商有关说明</w:t>
      </w:r>
      <w:bookmarkEnd w:id="5"/>
    </w:p>
    <w:p>
      <w:pPr>
        <w:snapToGrid w:val="0"/>
        <w:spacing w:line="500" w:lineRule="exact"/>
        <w:ind w:firstLine="482"/>
        <w:rPr>
          <w:rFonts w:ascii="仿宋" w:hAnsi="仿宋" w:eastAsia="仿宋"/>
          <w:b/>
          <w:color w:val="auto"/>
          <w:sz w:val="24"/>
        </w:rPr>
      </w:pPr>
      <w:r>
        <w:rPr>
          <w:rFonts w:ascii="仿宋" w:hAnsi="仿宋" w:eastAsia="仿宋"/>
          <w:color w:val="auto"/>
          <w:sz w:val="24"/>
        </w:rPr>
        <w:t>（一）凡有意参加磋商的供应商，请到采购代理机构领取</w:t>
      </w:r>
      <w:r>
        <w:rPr>
          <w:rFonts w:hint="eastAsia" w:ascii="仿宋" w:hAnsi="仿宋" w:eastAsia="仿宋"/>
          <w:color w:val="auto"/>
          <w:sz w:val="24"/>
        </w:rPr>
        <w:t>或在</w:t>
      </w:r>
      <w:r>
        <w:rPr>
          <w:rFonts w:ascii="仿宋" w:hAnsi="仿宋" w:eastAsia="仿宋"/>
          <w:color w:val="auto"/>
          <w:sz w:val="24"/>
        </w:rPr>
        <w:t>《行采家》（www.gec123.com）网</w:t>
      </w:r>
      <w:r>
        <w:rPr>
          <w:rFonts w:hint="eastAsia" w:ascii="仿宋" w:hAnsi="仿宋" w:eastAsia="仿宋"/>
          <w:color w:val="auto"/>
          <w:sz w:val="24"/>
        </w:rPr>
        <w:t>及重庆市住房和城乡建设技术发展中心（重庆市建筑节能中心）官网（http://www.jsfzzx.com/）</w:t>
      </w:r>
      <w:r>
        <w:rPr>
          <w:rFonts w:ascii="仿宋" w:hAnsi="仿宋" w:eastAsia="仿宋"/>
          <w:color w:val="auto"/>
          <w:sz w:val="24"/>
        </w:rPr>
        <w:t>上下载本项目磋商文件以及补遗等开标前公布的所有项目资料，无论供应商领取或下载与否，均视为已知晓所有磋商内容。</w:t>
      </w:r>
    </w:p>
    <w:p>
      <w:pPr>
        <w:snapToGrid w:val="0"/>
        <w:spacing w:line="500" w:lineRule="exact"/>
        <w:ind w:firstLine="480"/>
        <w:rPr>
          <w:rFonts w:ascii="仿宋" w:hAnsi="仿宋" w:eastAsia="仿宋"/>
          <w:color w:val="auto"/>
          <w:sz w:val="24"/>
        </w:rPr>
      </w:pPr>
      <w:r>
        <w:rPr>
          <w:rFonts w:ascii="仿宋" w:hAnsi="仿宋" w:eastAsia="仿宋"/>
          <w:color w:val="auto"/>
          <w:sz w:val="24"/>
        </w:rPr>
        <w:t>（二）竞争性磋商文件公告期限：自采购公告发布之日（2021年</w:t>
      </w:r>
      <w:r>
        <w:rPr>
          <w:rFonts w:hint="eastAsia" w:ascii="仿宋" w:hAnsi="仿宋" w:eastAsia="仿宋"/>
          <w:color w:val="auto"/>
          <w:sz w:val="24"/>
        </w:rPr>
        <w:t>12</w:t>
      </w:r>
      <w:r>
        <w:rPr>
          <w:rFonts w:ascii="仿宋" w:hAnsi="仿宋" w:eastAsia="仿宋"/>
          <w:color w:val="auto"/>
          <w:sz w:val="24"/>
        </w:rPr>
        <w:t>月</w:t>
      </w:r>
      <w:r>
        <w:rPr>
          <w:rFonts w:hint="eastAsia" w:ascii="仿宋" w:hAnsi="仿宋" w:eastAsia="仿宋"/>
          <w:color w:val="auto"/>
          <w:sz w:val="24"/>
        </w:rPr>
        <w:t>10</w:t>
      </w:r>
      <w:r>
        <w:rPr>
          <w:rFonts w:ascii="仿宋" w:hAnsi="仿宋" w:eastAsia="仿宋"/>
          <w:color w:val="auto"/>
          <w:sz w:val="24"/>
        </w:rPr>
        <w:t>日）起三个工作日。</w:t>
      </w:r>
    </w:p>
    <w:p>
      <w:pPr>
        <w:snapToGrid w:val="0"/>
        <w:spacing w:line="500" w:lineRule="exact"/>
        <w:ind w:firstLine="480"/>
        <w:rPr>
          <w:rFonts w:ascii="仿宋" w:hAnsi="仿宋" w:eastAsia="仿宋"/>
          <w:color w:val="auto"/>
          <w:sz w:val="24"/>
        </w:rPr>
      </w:pPr>
      <w:r>
        <w:rPr>
          <w:rFonts w:ascii="仿宋" w:hAnsi="仿宋" w:eastAsia="仿宋"/>
          <w:color w:val="auto"/>
          <w:sz w:val="24"/>
        </w:rPr>
        <w:t>（三）磋商文件发售期：2021年</w:t>
      </w:r>
      <w:r>
        <w:rPr>
          <w:rFonts w:hint="eastAsia" w:ascii="仿宋" w:hAnsi="仿宋" w:eastAsia="仿宋"/>
          <w:color w:val="auto"/>
          <w:sz w:val="24"/>
        </w:rPr>
        <w:t>12</w:t>
      </w:r>
      <w:r>
        <w:rPr>
          <w:rFonts w:ascii="仿宋" w:hAnsi="仿宋" w:eastAsia="仿宋"/>
          <w:color w:val="auto"/>
          <w:sz w:val="24"/>
        </w:rPr>
        <w:t>月</w:t>
      </w:r>
      <w:r>
        <w:rPr>
          <w:rFonts w:hint="eastAsia" w:ascii="仿宋" w:hAnsi="仿宋" w:eastAsia="仿宋"/>
          <w:color w:val="auto"/>
          <w:sz w:val="24"/>
        </w:rPr>
        <w:t>10</w:t>
      </w:r>
      <w:r>
        <w:rPr>
          <w:rFonts w:ascii="仿宋" w:hAnsi="仿宋" w:eastAsia="仿宋"/>
          <w:color w:val="auto"/>
          <w:sz w:val="24"/>
        </w:rPr>
        <w:t>日--2021年</w:t>
      </w:r>
      <w:r>
        <w:rPr>
          <w:rFonts w:hint="eastAsia" w:ascii="仿宋" w:hAnsi="仿宋" w:eastAsia="仿宋"/>
          <w:color w:val="auto"/>
          <w:sz w:val="24"/>
        </w:rPr>
        <w:t>12</w:t>
      </w:r>
      <w:r>
        <w:rPr>
          <w:rFonts w:ascii="仿宋" w:hAnsi="仿宋" w:eastAsia="仿宋"/>
          <w:color w:val="auto"/>
          <w:sz w:val="24"/>
        </w:rPr>
        <w:t>月</w:t>
      </w:r>
      <w:r>
        <w:rPr>
          <w:rFonts w:hint="eastAsia" w:ascii="仿宋" w:hAnsi="仿宋" w:eastAsia="仿宋"/>
          <w:color w:val="auto"/>
          <w:sz w:val="24"/>
        </w:rPr>
        <w:t>16</w:t>
      </w:r>
      <w:r>
        <w:rPr>
          <w:rFonts w:ascii="仿宋" w:hAnsi="仿宋" w:eastAsia="仿宋"/>
          <w:color w:val="auto"/>
          <w:sz w:val="24"/>
        </w:rPr>
        <w:t>日17：00（工作时间）。</w:t>
      </w:r>
    </w:p>
    <w:p>
      <w:pPr>
        <w:snapToGrid w:val="0"/>
        <w:spacing w:line="500" w:lineRule="exact"/>
        <w:ind w:firstLine="480"/>
        <w:rPr>
          <w:rFonts w:ascii="仿宋" w:hAnsi="仿宋" w:eastAsia="仿宋"/>
          <w:color w:val="auto"/>
          <w:sz w:val="24"/>
        </w:rPr>
      </w:pPr>
      <w:r>
        <w:rPr>
          <w:rFonts w:ascii="仿宋" w:hAnsi="仿宋" w:eastAsia="仿宋"/>
          <w:color w:val="auto"/>
          <w:sz w:val="24"/>
        </w:rPr>
        <w:t>（四）磋商文件购买费：人民币</w:t>
      </w:r>
      <w:r>
        <w:rPr>
          <w:rFonts w:hint="eastAsia" w:ascii="仿宋" w:hAnsi="仿宋" w:eastAsia="仿宋"/>
          <w:color w:val="auto"/>
          <w:sz w:val="24"/>
        </w:rPr>
        <w:t>2</w:t>
      </w:r>
      <w:r>
        <w:rPr>
          <w:rFonts w:ascii="仿宋" w:hAnsi="仿宋" w:eastAsia="仿宋"/>
          <w:color w:val="auto"/>
          <w:sz w:val="24"/>
        </w:rPr>
        <w:t>00元/份（售后不退）。</w:t>
      </w:r>
    </w:p>
    <w:p>
      <w:pPr>
        <w:snapToGrid w:val="0"/>
        <w:spacing w:line="500" w:lineRule="exact"/>
        <w:ind w:firstLine="480"/>
        <w:rPr>
          <w:rFonts w:ascii="仿宋" w:hAnsi="仿宋" w:eastAsia="仿宋"/>
          <w:color w:val="auto"/>
          <w:sz w:val="24"/>
        </w:rPr>
      </w:pPr>
      <w:r>
        <w:rPr>
          <w:rFonts w:ascii="仿宋" w:hAnsi="仿宋" w:eastAsia="仿宋"/>
          <w:color w:val="auto"/>
          <w:sz w:val="24"/>
        </w:rPr>
        <w:t>（五）磋商文件的购买方式：</w:t>
      </w:r>
    </w:p>
    <w:p>
      <w:pPr>
        <w:snapToGrid w:val="0"/>
        <w:spacing w:line="500" w:lineRule="exact"/>
        <w:ind w:firstLine="480"/>
        <w:rPr>
          <w:rFonts w:ascii="仿宋" w:hAnsi="仿宋" w:eastAsia="仿宋"/>
          <w:color w:val="auto"/>
          <w:sz w:val="24"/>
        </w:rPr>
      </w:pPr>
      <w:r>
        <w:rPr>
          <w:rFonts w:ascii="仿宋" w:hAnsi="仿宋" w:eastAsia="仿宋"/>
          <w:color w:val="auto"/>
          <w:sz w:val="24"/>
        </w:rPr>
        <w:t>1.现场购买磋商文件</w:t>
      </w:r>
    </w:p>
    <w:p>
      <w:pPr>
        <w:snapToGrid w:val="0"/>
        <w:spacing w:line="500" w:lineRule="exact"/>
        <w:ind w:firstLine="480"/>
        <w:rPr>
          <w:rFonts w:ascii="仿宋" w:hAnsi="仿宋" w:eastAsia="仿宋"/>
          <w:color w:val="auto"/>
          <w:sz w:val="24"/>
        </w:rPr>
      </w:pPr>
      <w:r>
        <w:rPr>
          <w:rFonts w:ascii="仿宋" w:hAnsi="仿宋" w:eastAsia="仿宋"/>
          <w:color w:val="auto"/>
          <w:sz w:val="24"/>
        </w:rPr>
        <w:t>在磋商文件发售期内，供应商到采购代理机构重庆市建标工程技术有限公司（</w:t>
      </w:r>
      <w:r>
        <w:rPr>
          <w:rFonts w:hint="eastAsia" w:ascii="仿宋" w:hAnsi="仿宋" w:eastAsia="仿宋"/>
          <w:color w:val="auto"/>
          <w:sz w:val="24"/>
        </w:rPr>
        <w:t>重庆市渝北区余松西路155号两江春城春玺苑4幢7楼</w:t>
      </w:r>
      <w:r>
        <w:rPr>
          <w:rFonts w:ascii="仿宋" w:hAnsi="仿宋" w:eastAsia="仿宋"/>
          <w:color w:val="auto"/>
          <w:sz w:val="24"/>
        </w:rPr>
        <w:t>）递交《采购文件发售登记表》（加盖供应商公章）购买磋商文件。</w:t>
      </w:r>
    </w:p>
    <w:p>
      <w:pPr>
        <w:snapToGrid w:val="0"/>
        <w:spacing w:line="500" w:lineRule="exact"/>
        <w:ind w:firstLine="480"/>
        <w:rPr>
          <w:rFonts w:ascii="仿宋" w:hAnsi="仿宋" w:eastAsia="仿宋"/>
          <w:color w:val="auto"/>
          <w:sz w:val="24"/>
        </w:rPr>
      </w:pPr>
      <w:r>
        <w:rPr>
          <w:rFonts w:ascii="仿宋" w:hAnsi="仿宋" w:eastAsia="仿宋"/>
          <w:color w:val="auto"/>
          <w:sz w:val="24"/>
        </w:rPr>
        <w:t>2. 非现场购买磋商文件</w:t>
      </w:r>
    </w:p>
    <w:p>
      <w:pPr>
        <w:snapToGrid w:val="0"/>
        <w:spacing w:line="500" w:lineRule="exact"/>
        <w:ind w:firstLine="480"/>
        <w:rPr>
          <w:rFonts w:ascii="仿宋" w:hAnsi="仿宋" w:eastAsia="仿宋"/>
          <w:color w:val="auto"/>
          <w:sz w:val="24"/>
        </w:rPr>
      </w:pPr>
      <w:r>
        <w:rPr>
          <w:rFonts w:ascii="仿宋" w:hAnsi="仿宋" w:eastAsia="仿宋"/>
          <w:color w:val="auto"/>
          <w:sz w:val="24"/>
        </w:rPr>
        <w:t>在磋商文件发售期内，供应商将磋商文件购买费用汇至以下账户，并将磋商文件汇款凭证(汇款时须注明项目编号：</w:t>
      </w:r>
      <w:r>
        <w:rPr>
          <w:rFonts w:hint="eastAsia" w:ascii="仿宋" w:hAnsi="仿宋" w:eastAsia="仿宋"/>
          <w:color w:val="auto"/>
          <w:sz w:val="24"/>
        </w:rPr>
        <w:t>渝【建标招】2021-266</w:t>
      </w:r>
      <w:r>
        <w:rPr>
          <w:rFonts w:ascii="仿宋" w:hAnsi="仿宋" w:eastAsia="仿宋"/>
          <w:color w:val="auto"/>
          <w:sz w:val="24"/>
        </w:rPr>
        <w:t>)、《采购文件发售登记表》（加盖供应商公章）扫描后发送至</w:t>
      </w:r>
      <w:r>
        <w:rPr>
          <w:rFonts w:hint="eastAsia" w:ascii="仿宋" w:hAnsi="仿宋" w:eastAsia="仿宋"/>
          <w:color w:val="auto"/>
          <w:sz w:val="24"/>
        </w:rPr>
        <w:t>cqjbzb_2021@yeah.net（邮箱）</w:t>
      </w:r>
      <w:r>
        <w:rPr>
          <w:rFonts w:ascii="仿宋" w:hAnsi="仿宋" w:eastAsia="仿宋"/>
          <w:color w:val="auto"/>
          <w:sz w:val="24"/>
        </w:rPr>
        <w:t>。</w:t>
      </w:r>
    </w:p>
    <w:p>
      <w:pPr>
        <w:snapToGrid w:val="0"/>
        <w:spacing w:line="500" w:lineRule="exact"/>
        <w:ind w:firstLine="480"/>
        <w:rPr>
          <w:rFonts w:ascii="仿宋" w:hAnsi="仿宋" w:eastAsia="仿宋"/>
          <w:color w:val="auto"/>
          <w:sz w:val="24"/>
        </w:rPr>
      </w:pPr>
      <w:r>
        <w:rPr>
          <w:rFonts w:ascii="仿宋" w:hAnsi="仿宋" w:eastAsia="仿宋"/>
          <w:color w:val="auto"/>
          <w:sz w:val="24"/>
        </w:rPr>
        <w:t>户名：重庆市建标工程技术有限公司</w:t>
      </w:r>
    </w:p>
    <w:p>
      <w:pPr>
        <w:snapToGrid w:val="0"/>
        <w:spacing w:line="500" w:lineRule="exact"/>
        <w:ind w:firstLine="480"/>
        <w:rPr>
          <w:rFonts w:ascii="仿宋" w:hAnsi="仿宋" w:eastAsia="仿宋"/>
          <w:color w:val="auto"/>
          <w:sz w:val="24"/>
        </w:rPr>
      </w:pPr>
      <w:r>
        <w:rPr>
          <w:rFonts w:ascii="仿宋" w:hAnsi="仿宋" w:eastAsia="仿宋"/>
          <w:color w:val="auto"/>
          <w:sz w:val="24"/>
        </w:rPr>
        <w:t>开户行：中国银行重庆上清寺支行</w:t>
      </w:r>
    </w:p>
    <w:p>
      <w:pPr>
        <w:snapToGrid w:val="0"/>
        <w:spacing w:line="500" w:lineRule="exact"/>
        <w:ind w:firstLine="480"/>
        <w:rPr>
          <w:rFonts w:ascii="仿宋" w:hAnsi="仿宋" w:eastAsia="仿宋"/>
          <w:color w:val="auto"/>
          <w:sz w:val="24"/>
        </w:rPr>
      </w:pPr>
      <w:r>
        <w:rPr>
          <w:rFonts w:ascii="仿宋" w:hAnsi="仿宋" w:eastAsia="仿宋"/>
          <w:color w:val="auto"/>
          <w:sz w:val="24"/>
        </w:rPr>
        <w:t>账号：111612009464</w:t>
      </w:r>
    </w:p>
    <w:p>
      <w:pPr>
        <w:snapToGrid w:val="0"/>
        <w:spacing w:line="500" w:lineRule="exact"/>
        <w:ind w:firstLine="480"/>
        <w:rPr>
          <w:rFonts w:ascii="仿宋" w:hAnsi="仿宋" w:eastAsia="仿宋"/>
          <w:color w:val="auto"/>
          <w:sz w:val="24"/>
        </w:rPr>
      </w:pPr>
      <w:r>
        <w:rPr>
          <w:rFonts w:ascii="仿宋" w:hAnsi="仿宋" w:eastAsia="仿宋"/>
          <w:color w:val="auto"/>
          <w:sz w:val="24"/>
        </w:rPr>
        <w:t>3．在磋商文件发售期内购买了磋商文件的供应商，其响应文件才被接收。</w:t>
      </w:r>
    </w:p>
    <w:p>
      <w:pPr>
        <w:snapToGrid w:val="0"/>
        <w:spacing w:line="500" w:lineRule="exact"/>
        <w:ind w:firstLine="480"/>
        <w:rPr>
          <w:rFonts w:ascii="仿宋" w:hAnsi="仿宋" w:eastAsia="仿宋"/>
          <w:color w:val="auto"/>
          <w:sz w:val="24"/>
        </w:rPr>
      </w:pPr>
      <w:r>
        <w:rPr>
          <w:rFonts w:ascii="仿宋" w:hAnsi="仿宋" w:eastAsia="仿宋"/>
          <w:color w:val="auto"/>
          <w:sz w:val="24"/>
        </w:rPr>
        <w:t>（六）递交响应文件地点：</w:t>
      </w:r>
      <w:r>
        <w:rPr>
          <w:rFonts w:hint="eastAsia" w:ascii="仿宋" w:hAnsi="仿宋" w:eastAsia="仿宋"/>
          <w:color w:val="auto"/>
          <w:sz w:val="24"/>
        </w:rPr>
        <w:t xml:space="preserve">重庆市渝北区余松西路155号两江春城春玺苑4幢9楼0903会议室        </w:t>
      </w:r>
    </w:p>
    <w:p>
      <w:pPr>
        <w:snapToGrid w:val="0"/>
        <w:spacing w:line="500" w:lineRule="exact"/>
        <w:ind w:firstLine="480"/>
        <w:rPr>
          <w:rFonts w:ascii="仿宋" w:hAnsi="仿宋" w:eastAsia="仿宋"/>
          <w:color w:val="auto"/>
          <w:sz w:val="24"/>
        </w:rPr>
      </w:pPr>
      <w:r>
        <w:rPr>
          <w:rFonts w:ascii="仿宋" w:hAnsi="仿宋" w:eastAsia="仿宋"/>
          <w:color w:val="auto"/>
          <w:sz w:val="24"/>
        </w:rPr>
        <w:t>（七）递交响应文件开始时间：2021年</w:t>
      </w:r>
      <w:r>
        <w:rPr>
          <w:rFonts w:hint="eastAsia" w:ascii="仿宋" w:hAnsi="仿宋" w:eastAsia="仿宋"/>
          <w:color w:val="auto"/>
          <w:sz w:val="24"/>
        </w:rPr>
        <w:t>12</w:t>
      </w:r>
      <w:r>
        <w:rPr>
          <w:rFonts w:ascii="仿宋" w:hAnsi="仿宋" w:eastAsia="仿宋"/>
          <w:color w:val="auto"/>
          <w:sz w:val="24"/>
        </w:rPr>
        <w:t>月</w:t>
      </w:r>
      <w:r>
        <w:rPr>
          <w:rFonts w:hint="eastAsia" w:ascii="仿宋" w:hAnsi="仿宋" w:eastAsia="仿宋"/>
          <w:color w:val="auto"/>
          <w:sz w:val="24"/>
        </w:rPr>
        <w:t>2</w:t>
      </w:r>
      <w:r>
        <w:rPr>
          <w:rFonts w:hint="eastAsia" w:ascii="仿宋" w:hAnsi="仿宋" w:eastAsia="仿宋"/>
          <w:color w:val="auto"/>
          <w:sz w:val="24"/>
          <w:lang w:val="en-US" w:eastAsia="zh-CN"/>
        </w:rPr>
        <w:t>4</w:t>
      </w:r>
      <w:r>
        <w:rPr>
          <w:rFonts w:ascii="仿宋" w:hAnsi="仿宋" w:eastAsia="仿宋"/>
          <w:color w:val="auto"/>
          <w:sz w:val="24"/>
        </w:rPr>
        <w:t>日北京时间</w:t>
      </w:r>
      <w:r>
        <w:rPr>
          <w:rFonts w:hint="eastAsia" w:ascii="仿宋" w:hAnsi="仿宋" w:eastAsia="仿宋"/>
          <w:color w:val="auto"/>
          <w:sz w:val="24"/>
        </w:rPr>
        <w:t>09</w:t>
      </w:r>
      <w:r>
        <w:rPr>
          <w:rFonts w:ascii="仿宋" w:hAnsi="仿宋" w:eastAsia="仿宋"/>
          <w:color w:val="auto"/>
          <w:sz w:val="24"/>
        </w:rPr>
        <w:t>:</w:t>
      </w:r>
      <w:r>
        <w:rPr>
          <w:rFonts w:hint="eastAsia" w:ascii="仿宋" w:hAnsi="仿宋" w:eastAsia="仿宋"/>
          <w:color w:val="auto"/>
          <w:sz w:val="24"/>
        </w:rPr>
        <w:t>3</w:t>
      </w:r>
      <w:r>
        <w:rPr>
          <w:rFonts w:ascii="仿宋" w:hAnsi="仿宋" w:eastAsia="仿宋"/>
          <w:color w:val="auto"/>
          <w:sz w:val="24"/>
        </w:rPr>
        <w:t>0;</w:t>
      </w:r>
    </w:p>
    <w:p>
      <w:pPr>
        <w:snapToGrid w:val="0"/>
        <w:spacing w:line="500" w:lineRule="exact"/>
        <w:ind w:firstLine="480"/>
        <w:rPr>
          <w:rFonts w:ascii="仿宋" w:hAnsi="仿宋" w:eastAsia="仿宋"/>
          <w:color w:val="auto"/>
          <w:sz w:val="24"/>
        </w:rPr>
      </w:pPr>
      <w:r>
        <w:rPr>
          <w:rFonts w:ascii="仿宋" w:hAnsi="仿宋" w:eastAsia="仿宋"/>
          <w:color w:val="auto"/>
          <w:sz w:val="24"/>
        </w:rPr>
        <w:t>（八）递交响应文件截止时间：2021年</w:t>
      </w:r>
      <w:r>
        <w:rPr>
          <w:rFonts w:hint="eastAsia" w:ascii="仿宋" w:hAnsi="仿宋" w:eastAsia="仿宋"/>
          <w:color w:val="auto"/>
          <w:sz w:val="24"/>
        </w:rPr>
        <w:t>12</w:t>
      </w:r>
      <w:r>
        <w:rPr>
          <w:rFonts w:ascii="仿宋" w:hAnsi="仿宋" w:eastAsia="仿宋"/>
          <w:color w:val="auto"/>
          <w:sz w:val="24"/>
        </w:rPr>
        <w:t>月</w:t>
      </w:r>
      <w:r>
        <w:rPr>
          <w:rFonts w:hint="eastAsia" w:ascii="仿宋" w:hAnsi="仿宋" w:eastAsia="仿宋"/>
          <w:color w:val="auto"/>
          <w:sz w:val="24"/>
        </w:rPr>
        <w:t>2</w:t>
      </w:r>
      <w:r>
        <w:rPr>
          <w:rFonts w:hint="eastAsia" w:ascii="仿宋" w:hAnsi="仿宋" w:eastAsia="仿宋"/>
          <w:color w:val="auto"/>
          <w:sz w:val="24"/>
          <w:lang w:val="en-US" w:eastAsia="zh-CN"/>
        </w:rPr>
        <w:t>4</w:t>
      </w:r>
      <w:r>
        <w:rPr>
          <w:rFonts w:ascii="仿宋" w:hAnsi="仿宋" w:eastAsia="仿宋"/>
          <w:color w:val="auto"/>
          <w:sz w:val="24"/>
        </w:rPr>
        <w:t>日北京时间</w:t>
      </w:r>
      <w:r>
        <w:rPr>
          <w:rFonts w:hint="eastAsia" w:ascii="仿宋" w:hAnsi="仿宋" w:eastAsia="仿宋"/>
          <w:color w:val="auto"/>
          <w:sz w:val="24"/>
        </w:rPr>
        <w:t>10</w:t>
      </w:r>
      <w:r>
        <w:rPr>
          <w:rFonts w:ascii="仿宋" w:hAnsi="仿宋" w:eastAsia="仿宋"/>
          <w:color w:val="auto"/>
          <w:sz w:val="24"/>
        </w:rPr>
        <w:t>:</w:t>
      </w:r>
      <w:r>
        <w:rPr>
          <w:rFonts w:hint="eastAsia" w:ascii="仿宋" w:hAnsi="仿宋" w:eastAsia="仿宋"/>
          <w:color w:val="auto"/>
          <w:sz w:val="24"/>
        </w:rPr>
        <w:t>0</w:t>
      </w:r>
      <w:r>
        <w:rPr>
          <w:rFonts w:ascii="仿宋" w:hAnsi="仿宋" w:eastAsia="仿宋"/>
          <w:color w:val="auto"/>
          <w:sz w:val="24"/>
        </w:rPr>
        <w:t>0;</w:t>
      </w:r>
    </w:p>
    <w:p>
      <w:pPr>
        <w:snapToGrid w:val="0"/>
        <w:spacing w:line="500" w:lineRule="exact"/>
        <w:ind w:firstLine="480"/>
        <w:rPr>
          <w:rFonts w:ascii="仿宋" w:hAnsi="仿宋" w:eastAsia="仿宋"/>
          <w:color w:val="auto"/>
          <w:sz w:val="24"/>
        </w:rPr>
      </w:pPr>
      <w:r>
        <w:rPr>
          <w:rFonts w:ascii="仿宋" w:hAnsi="仿宋" w:eastAsia="仿宋"/>
          <w:color w:val="auto"/>
          <w:sz w:val="24"/>
        </w:rPr>
        <w:t>（九）磋商开始时间：2021年</w:t>
      </w:r>
      <w:r>
        <w:rPr>
          <w:rFonts w:hint="eastAsia" w:ascii="仿宋" w:hAnsi="仿宋" w:eastAsia="仿宋"/>
          <w:color w:val="auto"/>
          <w:sz w:val="24"/>
        </w:rPr>
        <w:t>12</w:t>
      </w:r>
      <w:r>
        <w:rPr>
          <w:rFonts w:ascii="仿宋" w:hAnsi="仿宋" w:eastAsia="仿宋"/>
          <w:color w:val="auto"/>
          <w:sz w:val="24"/>
        </w:rPr>
        <w:t>月</w:t>
      </w:r>
      <w:r>
        <w:rPr>
          <w:rFonts w:hint="eastAsia" w:ascii="仿宋" w:hAnsi="仿宋" w:eastAsia="仿宋"/>
          <w:color w:val="auto"/>
          <w:sz w:val="24"/>
        </w:rPr>
        <w:t>2</w:t>
      </w:r>
      <w:r>
        <w:rPr>
          <w:rFonts w:hint="eastAsia" w:ascii="仿宋" w:hAnsi="仿宋" w:eastAsia="仿宋"/>
          <w:color w:val="auto"/>
          <w:sz w:val="24"/>
          <w:lang w:val="en-US" w:eastAsia="zh-CN"/>
        </w:rPr>
        <w:t>4</w:t>
      </w:r>
      <w:r>
        <w:rPr>
          <w:rFonts w:ascii="仿宋" w:hAnsi="仿宋" w:eastAsia="仿宋"/>
          <w:color w:val="auto"/>
          <w:sz w:val="24"/>
        </w:rPr>
        <w:t>日北京时间</w:t>
      </w:r>
      <w:r>
        <w:rPr>
          <w:rFonts w:hint="eastAsia" w:ascii="仿宋" w:hAnsi="仿宋" w:eastAsia="仿宋"/>
          <w:color w:val="auto"/>
          <w:sz w:val="24"/>
        </w:rPr>
        <w:t>10</w:t>
      </w:r>
      <w:r>
        <w:rPr>
          <w:rFonts w:ascii="仿宋" w:hAnsi="仿宋" w:eastAsia="仿宋"/>
          <w:color w:val="auto"/>
          <w:sz w:val="24"/>
        </w:rPr>
        <w:t>:</w:t>
      </w:r>
      <w:r>
        <w:rPr>
          <w:rFonts w:hint="eastAsia" w:ascii="仿宋" w:hAnsi="仿宋" w:eastAsia="仿宋"/>
          <w:color w:val="auto"/>
          <w:sz w:val="24"/>
        </w:rPr>
        <w:t>00</w:t>
      </w:r>
      <w:r>
        <w:rPr>
          <w:rFonts w:ascii="仿宋" w:hAnsi="仿宋" w:eastAsia="仿宋"/>
          <w:color w:val="auto"/>
          <w:sz w:val="24"/>
        </w:rPr>
        <w:t>;</w:t>
      </w:r>
    </w:p>
    <w:p>
      <w:pPr>
        <w:snapToGrid w:val="0"/>
        <w:spacing w:line="500" w:lineRule="exact"/>
        <w:ind w:firstLine="480"/>
        <w:rPr>
          <w:rFonts w:ascii="仿宋" w:hAnsi="仿宋" w:eastAsia="仿宋" w:cs="仿宋"/>
          <w:color w:val="auto"/>
          <w:sz w:val="24"/>
        </w:rPr>
      </w:pPr>
      <w:r>
        <w:rPr>
          <w:rFonts w:ascii="仿宋" w:hAnsi="仿宋" w:eastAsia="仿宋"/>
          <w:color w:val="auto"/>
          <w:sz w:val="24"/>
        </w:rPr>
        <w:t>（十）磋商地点：同递交响应文件地点。</w:t>
      </w:r>
    </w:p>
    <w:p>
      <w:pPr>
        <w:keepNext/>
        <w:keepLines/>
        <w:snapToGrid w:val="0"/>
        <w:spacing w:line="500" w:lineRule="exact"/>
        <w:outlineLvl w:val="1"/>
        <w:rPr>
          <w:rFonts w:ascii="方正仿宋_GBK" w:hAnsi="Times New Roman" w:eastAsia="方正仿宋_GBK"/>
          <w:b/>
          <w:color w:val="auto"/>
          <w:sz w:val="24"/>
        </w:rPr>
      </w:pPr>
      <w:bookmarkStart w:id="6" w:name="_Toc19969"/>
      <w:r>
        <w:rPr>
          <w:rFonts w:hint="eastAsia" w:ascii="方正仿宋_GBK" w:hAnsi="Times New Roman" w:eastAsia="方正仿宋_GBK"/>
          <w:b/>
          <w:color w:val="auto"/>
          <w:sz w:val="24"/>
        </w:rPr>
        <w:t>五、投标保证金</w:t>
      </w:r>
      <w:bookmarkEnd w:id="6"/>
    </w:p>
    <w:p>
      <w:pPr>
        <w:snapToGrid w:val="0"/>
        <w:spacing w:line="500" w:lineRule="exact"/>
        <w:ind w:firstLine="480"/>
        <w:rPr>
          <w:rFonts w:ascii="仿宋" w:hAnsi="仿宋" w:eastAsia="仿宋"/>
          <w:color w:val="auto"/>
          <w:sz w:val="24"/>
        </w:rPr>
      </w:pPr>
      <w:r>
        <w:rPr>
          <w:rFonts w:ascii="仿宋" w:hAnsi="仿宋" w:eastAsia="仿宋"/>
          <w:color w:val="auto"/>
          <w:sz w:val="24"/>
        </w:rPr>
        <w:t>（一）保证金递交</w:t>
      </w:r>
    </w:p>
    <w:p>
      <w:pPr>
        <w:snapToGrid w:val="0"/>
        <w:spacing w:line="500" w:lineRule="exact"/>
        <w:ind w:firstLine="480"/>
        <w:rPr>
          <w:rFonts w:ascii="仿宋" w:hAnsi="仿宋" w:eastAsia="仿宋"/>
          <w:color w:val="auto"/>
          <w:sz w:val="24"/>
        </w:rPr>
      </w:pPr>
      <w:r>
        <w:rPr>
          <w:rFonts w:ascii="仿宋" w:hAnsi="仿宋" w:eastAsia="仿宋"/>
          <w:color w:val="auto"/>
          <w:sz w:val="24"/>
        </w:rPr>
        <w:t>1、投标保证金金额：</w:t>
      </w:r>
      <w:r>
        <w:rPr>
          <w:rFonts w:ascii="仿宋" w:hAnsi="仿宋" w:eastAsia="仿宋"/>
          <w:b/>
          <w:color w:val="auto"/>
          <w:sz w:val="24"/>
        </w:rPr>
        <w:t>详见本篇:一、竞争性</w:t>
      </w:r>
      <w:r>
        <w:rPr>
          <w:rFonts w:hint="eastAsia" w:ascii="仿宋" w:hAnsi="仿宋" w:eastAsia="仿宋"/>
          <w:b/>
          <w:color w:val="auto"/>
          <w:sz w:val="24"/>
        </w:rPr>
        <w:t>磋商</w:t>
      </w:r>
      <w:r>
        <w:rPr>
          <w:rFonts w:ascii="仿宋" w:hAnsi="仿宋" w:eastAsia="仿宋"/>
          <w:b/>
          <w:color w:val="auto"/>
          <w:sz w:val="24"/>
        </w:rPr>
        <w:t>内容</w:t>
      </w:r>
      <w:r>
        <w:rPr>
          <w:rFonts w:ascii="仿宋" w:hAnsi="仿宋" w:eastAsia="仿宋"/>
          <w:color w:val="auto"/>
          <w:sz w:val="24"/>
        </w:rPr>
        <w:t>。</w:t>
      </w:r>
    </w:p>
    <w:p>
      <w:pPr>
        <w:snapToGrid w:val="0"/>
        <w:spacing w:line="500" w:lineRule="exact"/>
        <w:ind w:firstLine="480"/>
        <w:rPr>
          <w:rFonts w:ascii="仿宋" w:hAnsi="仿宋" w:eastAsia="仿宋"/>
          <w:color w:val="auto"/>
          <w:sz w:val="24"/>
        </w:rPr>
      </w:pPr>
      <w:r>
        <w:rPr>
          <w:rFonts w:ascii="仿宋" w:hAnsi="仿宋" w:eastAsia="仿宋"/>
          <w:color w:val="auto"/>
          <w:sz w:val="24"/>
        </w:rPr>
        <w:t>2、投标保证金提交形式：采用现金、转账、电汇或其他有效形式支付</w:t>
      </w:r>
    </w:p>
    <w:p>
      <w:pPr>
        <w:snapToGrid w:val="0"/>
        <w:spacing w:line="500" w:lineRule="exact"/>
        <w:ind w:firstLine="480"/>
        <w:rPr>
          <w:rFonts w:ascii="仿宋" w:hAnsi="仿宋" w:eastAsia="仿宋"/>
          <w:color w:val="auto"/>
          <w:sz w:val="24"/>
          <w:u w:val="single"/>
        </w:rPr>
      </w:pPr>
      <w:r>
        <w:rPr>
          <w:rFonts w:ascii="仿宋" w:hAnsi="仿宋" w:eastAsia="仿宋"/>
          <w:color w:val="auto"/>
          <w:sz w:val="24"/>
        </w:rPr>
        <w:t>3、投标保证金提交时间：投标供应商须按本项目规定的投标保证金金额进行缴纳，由投标供应商从其基本账户将投标保证金汇至以下账户，投标保证金的到账截止时间为2021年</w:t>
      </w:r>
      <w:r>
        <w:rPr>
          <w:rFonts w:hint="eastAsia" w:ascii="仿宋" w:hAnsi="仿宋" w:eastAsia="仿宋"/>
          <w:color w:val="auto"/>
          <w:sz w:val="24"/>
        </w:rPr>
        <w:t>12</w:t>
      </w:r>
      <w:r>
        <w:rPr>
          <w:rFonts w:ascii="仿宋" w:hAnsi="仿宋" w:eastAsia="仿宋"/>
          <w:color w:val="auto"/>
          <w:sz w:val="24"/>
        </w:rPr>
        <w:t>月</w:t>
      </w:r>
      <w:r>
        <w:rPr>
          <w:rFonts w:hint="eastAsia" w:ascii="仿宋" w:hAnsi="仿宋" w:eastAsia="仿宋"/>
          <w:color w:val="auto"/>
          <w:sz w:val="24"/>
        </w:rPr>
        <w:t>2</w:t>
      </w:r>
      <w:r>
        <w:rPr>
          <w:rFonts w:hint="eastAsia" w:ascii="仿宋" w:hAnsi="仿宋" w:eastAsia="仿宋"/>
          <w:color w:val="auto"/>
          <w:sz w:val="24"/>
          <w:lang w:val="en-US" w:eastAsia="zh-CN"/>
        </w:rPr>
        <w:t>4</w:t>
      </w:r>
      <w:r>
        <w:rPr>
          <w:rFonts w:ascii="仿宋" w:hAnsi="仿宋" w:eastAsia="仿宋"/>
          <w:color w:val="auto"/>
          <w:sz w:val="24"/>
        </w:rPr>
        <w:t>日北京时间10:00前。</w:t>
      </w:r>
    </w:p>
    <w:p>
      <w:pPr>
        <w:snapToGrid w:val="0"/>
        <w:spacing w:line="500" w:lineRule="exact"/>
        <w:ind w:firstLine="240"/>
        <w:rPr>
          <w:rFonts w:ascii="仿宋" w:hAnsi="仿宋" w:eastAsia="仿宋"/>
          <w:color w:val="auto"/>
          <w:sz w:val="24"/>
        </w:rPr>
      </w:pPr>
      <w:r>
        <w:rPr>
          <w:rFonts w:ascii="仿宋" w:hAnsi="仿宋" w:eastAsia="仿宋"/>
          <w:color w:val="auto"/>
          <w:sz w:val="24"/>
        </w:rPr>
        <w:t>投标保证金账户：</w:t>
      </w:r>
    </w:p>
    <w:p>
      <w:pPr>
        <w:snapToGrid w:val="0"/>
        <w:spacing w:line="500" w:lineRule="exact"/>
        <w:ind w:firstLine="240"/>
        <w:rPr>
          <w:rFonts w:ascii="仿宋" w:hAnsi="仿宋" w:eastAsia="仿宋"/>
          <w:color w:val="auto"/>
          <w:sz w:val="24"/>
        </w:rPr>
      </w:pPr>
      <w:r>
        <w:rPr>
          <w:rFonts w:ascii="仿宋" w:hAnsi="仿宋" w:eastAsia="仿宋"/>
          <w:color w:val="auto"/>
          <w:sz w:val="24"/>
        </w:rPr>
        <w:t>户  名：重庆市建标工程技术有限公司</w:t>
      </w:r>
    </w:p>
    <w:p>
      <w:pPr>
        <w:snapToGrid w:val="0"/>
        <w:spacing w:line="500" w:lineRule="exact"/>
        <w:ind w:firstLine="240"/>
        <w:rPr>
          <w:rFonts w:ascii="仿宋" w:hAnsi="仿宋" w:eastAsia="仿宋"/>
          <w:color w:val="auto"/>
          <w:sz w:val="24"/>
        </w:rPr>
      </w:pPr>
      <w:r>
        <w:rPr>
          <w:rFonts w:ascii="仿宋" w:hAnsi="仿宋" w:eastAsia="仿宋"/>
          <w:color w:val="auto"/>
          <w:sz w:val="24"/>
        </w:rPr>
        <w:t>开户行：中国银行股份有限公司重庆上清寺支行</w:t>
      </w:r>
    </w:p>
    <w:p>
      <w:pPr>
        <w:snapToGrid w:val="0"/>
        <w:spacing w:line="500" w:lineRule="exact"/>
        <w:ind w:firstLine="240"/>
        <w:rPr>
          <w:rFonts w:ascii="仿宋" w:hAnsi="仿宋" w:eastAsia="仿宋"/>
          <w:color w:val="auto"/>
          <w:sz w:val="24"/>
        </w:rPr>
      </w:pPr>
      <w:r>
        <w:rPr>
          <w:rFonts w:ascii="仿宋" w:hAnsi="仿宋" w:eastAsia="仿宋"/>
          <w:color w:val="auto"/>
          <w:sz w:val="24"/>
        </w:rPr>
        <w:t>账  号：111612009464</w:t>
      </w:r>
    </w:p>
    <w:p>
      <w:pPr>
        <w:snapToGrid w:val="0"/>
        <w:spacing w:line="500" w:lineRule="exact"/>
        <w:ind w:firstLine="482"/>
        <w:rPr>
          <w:rFonts w:ascii="仿宋" w:hAnsi="仿宋" w:eastAsia="仿宋"/>
          <w:b/>
          <w:color w:val="auto"/>
          <w:sz w:val="24"/>
        </w:rPr>
      </w:pPr>
      <w:r>
        <w:rPr>
          <w:rFonts w:ascii="仿宋" w:hAnsi="仿宋" w:eastAsia="仿宋"/>
          <w:b/>
          <w:color w:val="auto"/>
          <w:sz w:val="24"/>
        </w:rPr>
        <w:t>保证金递交注意事项：</w:t>
      </w:r>
    </w:p>
    <w:p>
      <w:pPr>
        <w:snapToGrid w:val="0"/>
        <w:spacing w:line="500" w:lineRule="exact"/>
        <w:ind w:firstLine="480"/>
        <w:rPr>
          <w:rFonts w:ascii="仿宋" w:hAnsi="仿宋" w:eastAsia="仿宋"/>
          <w:color w:val="auto"/>
          <w:sz w:val="24"/>
        </w:rPr>
      </w:pPr>
      <w:r>
        <w:rPr>
          <w:rFonts w:ascii="仿宋" w:hAnsi="仿宋" w:eastAsia="仿宋"/>
          <w:color w:val="auto"/>
          <w:sz w:val="24"/>
        </w:rPr>
        <w:t>1、各投标供应商在银行转账（电汇）时，须充分考虑银行转账（电汇）的时间差风险，如同城转账、异地转账或汇款、跨行转账或电汇的时间要求。</w:t>
      </w:r>
    </w:p>
    <w:p>
      <w:pPr>
        <w:snapToGrid w:val="0"/>
        <w:spacing w:line="500" w:lineRule="exact"/>
        <w:ind w:firstLine="480"/>
        <w:rPr>
          <w:rFonts w:ascii="仿宋" w:hAnsi="仿宋" w:eastAsia="仿宋"/>
          <w:color w:val="auto"/>
          <w:sz w:val="24"/>
        </w:rPr>
      </w:pPr>
      <w:r>
        <w:rPr>
          <w:rFonts w:ascii="仿宋" w:hAnsi="仿宋" w:eastAsia="仿宋"/>
          <w:color w:val="auto"/>
          <w:sz w:val="24"/>
        </w:rPr>
        <w:t>2、将保证金汇至重庆市建标工程技术有限公司保证金账户的投标供应商，请持“投标单位基本账户开户许可证（复印件）或基本存款账户信息”交至开标现场。</w:t>
      </w:r>
    </w:p>
    <w:p>
      <w:pPr>
        <w:snapToGrid w:val="0"/>
        <w:spacing w:line="500" w:lineRule="exact"/>
        <w:ind w:firstLine="480"/>
        <w:rPr>
          <w:rFonts w:ascii="仿宋" w:hAnsi="仿宋" w:eastAsia="仿宋"/>
          <w:color w:val="auto"/>
          <w:sz w:val="24"/>
        </w:rPr>
      </w:pPr>
      <w:r>
        <w:rPr>
          <w:rFonts w:ascii="仿宋" w:hAnsi="仿宋" w:eastAsia="仿宋"/>
          <w:color w:val="auto"/>
          <w:sz w:val="24"/>
        </w:rPr>
        <w:t>3、各投标供应商在递交保证金时，到款账户为上述指定的保证金专用账户，来款账户必须为本公司基本账户。</w:t>
      </w:r>
    </w:p>
    <w:p>
      <w:pPr>
        <w:snapToGrid w:val="0"/>
        <w:spacing w:line="500" w:lineRule="exact"/>
        <w:ind w:firstLine="480"/>
        <w:rPr>
          <w:rFonts w:ascii="仿宋" w:hAnsi="仿宋" w:eastAsia="仿宋"/>
          <w:color w:val="auto"/>
          <w:sz w:val="24"/>
        </w:rPr>
      </w:pPr>
      <w:r>
        <w:rPr>
          <w:rFonts w:ascii="仿宋" w:hAnsi="仿宋" w:eastAsia="仿宋"/>
          <w:color w:val="auto"/>
          <w:sz w:val="24"/>
        </w:rPr>
        <w:t>（二）保证金退还方式</w:t>
      </w:r>
    </w:p>
    <w:p>
      <w:pPr>
        <w:snapToGrid w:val="0"/>
        <w:spacing w:line="500" w:lineRule="exact"/>
        <w:ind w:firstLine="480"/>
        <w:rPr>
          <w:rFonts w:ascii="仿宋" w:hAnsi="仿宋" w:eastAsia="仿宋"/>
          <w:color w:val="auto"/>
          <w:sz w:val="24"/>
        </w:rPr>
      </w:pPr>
      <w:r>
        <w:rPr>
          <w:rFonts w:ascii="仿宋" w:hAnsi="仿宋" w:eastAsia="仿宋"/>
          <w:color w:val="auto"/>
          <w:sz w:val="24"/>
        </w:rPr>
        <w:t>1、未入围</w:t>
      </w:r>
      <w:r>
        <w:rPr>
          <w:rFonts w:hint="eastAsia" w:ascii="仿宋" w:hAnsi="仿宋" w:eastAsia="仿宋"/>
          <w:color w:val="auto"/>
          <w:sz w:val="24"/>
        </w:rPr>
        <w:t>供应商</w:t>
      </w:r>
      <w:r>
        <w:rPr>
          <w:rFonts w:ascii="仿宋" w:hAnsi="仿宋" w:eastAsia="仿宋"/>
          <w:color w:val="auto"/>
          <w:sz w:val="24"/>
        </w:rPr>
        <w:t>的保证金，在成交通知书发出后，由重庆市建标工程技术有限公司在5个工作日内按来款渠道退还投标供应商。</w:t>
      </w:r>
    </w:p>
    <w:p>
      <w:pPr>
        <w:snapToGrid w:val="0"/>
        <w:spacing w:line="500" w:lineRule="exact"/>
        <w:ind w:firstLine="48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入围供应商</w:t>
      </w:r>
      <w:r>
        <w:rPr>
          <w:rFonts w:ascii="仿宋" w:hAnsi="仿宋" w:eastAsia="仿宋"/>
          <w:color w:val="auto"/>
          <w:sz w:val="24"/>
        </w:rPr>
        <w:t>的保证金，在</w:t>
      </w:r>
      <w:r>
        <w:rPr>
          <w:rFonts w:hint="eastAsia" w:ascii="仿宋" w:hAnsi="仿宋" w:eastAsia="仿宋"/>
          <w:color w:val="auto"/>
          <w:sz w:val="24"/>
        </w:rPr>
        <w:t>最终成交供应商</w:t>
      </w:r>
      <w:r>
        <w:rPr>
          <w:rFonts w:ascii="仿宋" w:hAnsi="仿宋" w:eastAsia="仿宋"/>
          <w:color w:val="auto"/>
          <w:sz w:val="24"/>
        </w:rPr>
        <w:t>和采购人签订合同后，由重庆市建标工程技术有限公司在5个工作日内按来款渠道退还投标供应商。</w:t>
      </w:r>
    </w:p>
    <w:p>
      <w:pPr>
        <w:widowControl/>
        <w:snapToGrid w:val="0"/>
        <w:spacing w:line="500" w:lineRule="exact"/>
        <w:ind w:firstLine="480" w:firstLineChars="200"/>
        <w:rPr>
          <w:rFonts w:ascii="仿宋" w:hAnsi="仿宋" w:eastAsia="仿宋"/>
          <w:color w:val="auto"/>
          <w:sz w:val="24"/>
        </w:rPr>
      </w:pPr>
      <w:r>
        <w:rPr>
          <w:rFonts w:ascii="仿宋" w:hAnsi="仿宋" w:eastAsia="仿宋"/>
          <w:color w:val="auto"/>
          <w:sz w:val="24"/>
        </w:rPr>
        <w:t>3、退还保证金时，须提供银行开户许可证作登记，因故未到采购代理机构办理银行基本账户登记而耽误了退还保证金时限的，由供应商自行负责。</w:t>
      </w:r>
    </w:p>
    <w:p>
      <w:pPr>
        <w:keepNext/>
        <w:keepLines/>
        <w:snapToGrid w:val="0"/>
        <w:spacing w:line="500" w:lineRule="exact"/>
        <w:ind w:firstLine="241" w:firstLineChars="100"/>
        <w:outlineLvl w:val="1"/>
        <w:rPr>
          <w:rFonts w:ascii="方正仿宋_GBK" w:hAnsi="Times New Roman" w:eastAsia="方正仿宋_GBK"/>
          <w:b/>
          <w:color w:val="auto"/>
          <w:sz w:val="24"/>
        </w:rPr>
      </w:pPr>
      <w:bookmarkStart w:id="7" w:name="_Toc5443"/>
      <w:r>
        <w:rPr>
          <w:rFonts w:hint="eastAsia" w:ascii="方正仿宋_GBK" w:hAnsi="Times New Roman" w:eastAsia="方正仿宋_GBK"/>
          <w:b/>
          <w:color w:val="auto"/>
          <w:sz w:val="24"/>
        </w:rPr>
        <w:t>六、其它有关规定</w:t>
      </w:r>
      <w:bookmarkEnd w:id="7"/>
    </w:p>
    <w:p>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（一）供应商须在正式合同签订后至正式搭建实施验收完毕前，应随时按采购人提出的修改意见进行进行设计变更，直到采购人满意为止，设计变更不得向采购人收取任何费用。</w:t>
      </w:r>
    </w:p>
    <w:p>
      <w:pPr>
        <w:pStyle w:val="64"/>
        <w:spacing w:line="500" w:lineRule="exact"/>
        <w:ind w:firstLine="480"/>
        <w:rPr>
          <w:rFonts w:ascii="仿宋" w:hAnsi="仿宋" w:eastAsia="仿宋" w:cs="宋体"/>
          <w:color w:val="auto"/>
          <w:kern w:val="0"/>
          <w:sz w:val="24"/>
          <w:szCs w:val="20"/>
        </w:rPr>
      </w:pPr>
      <w:r>
        <w:rPr>
          <w:rFonts w:hint="eastAsia" w:ascii="仿宋" w:hAnsi="仿宋" w:eastAsia="仿宋"/>
          <w:color w:val="auto"/>
          <w:sz w:val="24"/>
        </w:rPr>
        <w:t>（二）对于</w:t>
      </w:r>
      <w:r>
        <w:rPr>
          <w:rFonts w:ascii="仿宋" w:hAnsi="仿宋" w:eastAsia="仿宋" w:cs="宋体"/>
          <w:color w:val="auto"/>
          <w:kern w:val="0"/>
          <w:sz w:val="24"/>
          <w:szCs w:val="20"/>
        </w:rPr>
        <w:t>三家入围候选供应商具有同等最终中标</w:t>
      </w:r>
      <w:r>
        <w:rPr>
          <w:rFonts w:hint="eastAsia" w:ascii="仿宋" w:hAnsi="仿宋" w:eastAsia="仿宋" w:cs="宋体"/>
          <w:color w:val="auto"/>
          <w:kern w:val="0"/>
          <w:sz w:val="24"/>
          <w:szCs w:val="20"/>
        </w:rPr>
        <w:t>（成交）</w:t>
      </w:r>
      <w:r>
        <w:rPr>
          <w:rFonts w:ascii="仿宋" w:hAnsi="仿宋" w:eastAsia="仿宋" w:cs="宋体"/>
          <w:color w:val="auto"/>
          <w:kern w:val="0"/>
          <w:sz w:val="24"/>
          <w:szCs w:val="20"/>
        </w:rPr>
        <w:t>的机会，对入围但最终未中标</w:t>
      </w:r>
      <w:r>
        <w:rPr>
          <w:rFonts w:hint="eastAsia" w:ascii="仿宋" w:hAnsi="仿宋" w:eastAsia="仿宋" w:cs="宋体"/>
          <w:color w:val="auto"/>
          <w:kern w:val="0"/>
          <w:sz w:val="24"/>
          <w:szCs w:val="20"/>
        </w:rPr>
        <w:t>（成交）</w:t>
      </w:r>
      <w:r>
        <w:rPr>
          <w:rFonts w:ascii="仿宋" w:hAnsi="仿宋" w:eastAsia="仿宋" w:cs="宋体"/>
          <w:color w:val="auto"/>
          <w:kern w:val="0"/>
          <w:sz w:val="24"/>
          <w:szCs w:val="20"/>
        </w:rPr>
        <w:t>的</w:t>
      </w:r>
      <w:r>
        <w:rPr>
          <w:rFonts w:hint="eastAsia" w:ascii="仿宋" w:hAnsi="仿宋" w:eastAsia="仿宋" w:cs="宋体"/>
          <w:color w:val="auto"/>
          <w:kern w:val="0"/>
          <w:sz w:val="24"/>
          <w:szCs w:val="20"/>
        </w:rPr>
        <w:t>供应商</w:t>
      </w:r>
      <w:r>
        <w:rPr>
          <w:rFonts w:ascii="仿宋" w:hAnsi="仿宋" w:eastAsia="仿宋" w:cs="宋体"/>
          <w:color w:val="auto"/>
          <w:kern w:val="0"/>
          <w:sz w:val="24"/>
          <w:szCs w:val="20"/>
        </w:rPr>
        <w:t>，由采购人给予一定的方案设计费补偿</w:t>
      </w:r>
      <w:r>
        <w:rPr>
          <w:rFonts w:hint="eastAsia" w:ascii="仿宋" w:hAnsi="仿宋" w:eastAsia="仿宋" w:cs="宋体"/>
          <w:color w:val="auto"/>
          <w:kern w:val="0"/>
          <w:sz w:val="24"/>
          <w:szCs w:val="20"/>
        </w:rPr>
        <w:t>，</w:t>
      </w:r>
      <w:r>
        <w:rPr>
          <w:rFonts w:ascii="仿宋" w:hAnsi="仿宋" w:eastAsia="仿宋" w:cs="宋体"/>
          <w:color w:val="auto"/>
          <w:kern w:val="0"/>
          <w:sz w:val="24"/>
          <w:szCs w:val="20"/>
        </w:rPr>
        <w:t>作为方案设计佣金。</w:t>
      </w:r>
      <w:r>
        <w:rPr>
          <w:rFonts w:hint="eastAsia" w:ascii="仿宋" w:hAnsi="仿宋" w:eastAsia="仿宋" w:cs="宋体"/>
          <w:color w:val="auto"/>
          <w:kern w:val="0"/>
          <w:sz w:val="24"/>
          <w:szCs w:val="20"/>
        </w:rPr>
        <w:t>本项目对</w:t>
      </w:r>
      <w:r>
        <w:rPr>
          <w:rFonts w:ascii="仿宋" w:hAnsi="仿宋" w:eastAsia="仿宋" w:cs="宋体"/>
          <w:color w:val="auto"/>
          <w:kern w:val="0"/>
          <w:sz w:val="24"/>
          <w:szCs w:val="20"/>
        </w:rPr>
        <w:t>入围但最终未中标</w:t>
      </w:r>
      <w:r>
        <w:rPr>
          <w:rFonts w:hint="eastAsia" w:ascii="仿宋" w:hAnsi="仿宋" w:eastAsia="仿宋" w:cs="宋体"/>
          <w:color w:val="auto"/>
          <w:kern w:val="0"/>
          <w:sz w:val="24"/>
          <w:szCs w:val="20"/>
        </w:rPr>
        <w:t>（成交）</w:t>
      </w:r>
      <w:r>
        <w:rPr>
          <w:rFonts w:ascii="仿宋" w:hAnsi="仿宋" w:eastAsia="仿宋" w:cs="宋体"/>
          <w:color w:val="auto"/>
          <w:kern w:val="0"/>
          <w:sz w:val="24"/>
          <w:szCs w:val="20"/>
        </w:rPr>
        <w:t>的</w:t>
      </w:r>
      <w:r>
        <w:rPr>
          <w:rFonts w:hint="eastAsia" w:ascii="仿宋" w:hAnsi="仿宋" w:eastAsia="仿宋" w:cs="宋体"/>
          <w:color w:val="auto"/>
          <w:kern w:val="0"/>
          <w:sz w:val="24"/>
          <w:szCs w:val="20"/>
        </w:rPr>
        <w:t>供应商设计补偿费金额为人民币壹万元。</w:t>
      </w:r>
    </w:p>
    <w:p>
      <w:pPr>
        <w:pStyle w:val="64"/>
        <w:spacing w:line="500" w:lineRule="exact"/>
        <w:ind w:firstLine="480"/>
        <w:rPr>
          <w:rFonts w:ascii="仿宋" w:hAnsi="仿宋" w:eastAsia="仿宋" w:cs="宋体"/>
          <w:color w:val="auto"/>
          <w:kern w:val="0"/>
          <w:sz w:val="24"/>
          <w:szCs w:val="20"/>
        </w:rPr>
      </w:pPr>
      <w:r>
        <w:rPr>
          <w:rFonts w:hint="eastAsia" w:ascii="仿宋" w:hAnsi="仿宋" w:eastAsia="仿宋" w:cs="宋体"/>
          <w:color w:val="auto"/>
          <w:kern w:val="0"/>
          <w:sz w:val="24"/>
          <w:szCs w:val="20"/>
        </w:rPr>
        <w:t>（三）</w:t>
      </w:r>
      <w:r>
        <w:rPr>
          <w:rFonts w:hint="eastAsia" w:ascii="仿宋" w:hAnsi="仿宋" w:eastAsia="仿宋"/>
          <w:color w:val="auto"/>
          <w:sz w:val="24"/>
        </w:rPr>
        <w:t>本项目入围候选供应商所有设计方案成果归采购人所有，采购人有权使用或借鉴其部分设计方案成果，供应商除设计补偿费外不得向采购人收取任何费用。</w:t>
      </w:r>
    </w:p>
    <w:p>
      <w:pPr>
        <w:keepNext/>
        <w:keepLines/>
        <w:snapToGrid w:val="0"/>
        <w:spacing w:line="500" w:lineRule="exact"/>
        <w:ind w:firstLine="241" w:firstLineChars="100"/>
        <w:outlineLvl w:val="1"/>
        <w:rPr>
          <w:rFonts w:ascii="方正仿宋_GBK" w:hAnsi="Times New Roman" w:eastAsia="方正仿宋_GBK"/>
          <w:b/>
          <w:color w:val="auto"/>
          <w:sz w:val="24"/>
        </w:rPr>
      </w:pPr>
      <w:bookmarkStart w:id="8" w:name="_Toc28960"/>
      <w:r>
        <w:rPr>
          <w:rFonts w:hint="eastAsia" w:ascii="方正仿宋_GBK" w:hAnsi="Times New Roman" w:eastAsia="方正仿宋_GBK"/>
          <w:b/>
          <w:color w:val="auto"/>
          <w:sz w:val="24"/>
        </w:rPr>
        <w:t>七、联系方式</w:t>
      </w:r>
      <w:bookmarkEnd w:id="8"/>
    </w:p>
    <w:p>
      <w:pPr>
        <w:snapToGrid w:val="0"/>
        <w:spacing w:line="500" w:lineRule="exact"/>
        <w:ind w:firstLine="480"/>
        <w:rPr>
          <w:rFonts w:ascii="仿宋" w:hAnsi="仿宋" w:eastAsia="仿宋"/>
          <w:color w:val="auto"/>
          <w:sz w:val="24"/>
        </w:rPr>
      </w:pPr>
      <w:r>
        <w:rPr>
          <w:rFonts w:ascii="仿宋" w:hAnsi="仿宋" w:eastAsia="仿宋"/>
          <w:color w:val="auto"/>
          <w:sz w:val="24"/>
        </w:rPr>
        <w:t>（一）</w:t>
      </w:r>
      <w:r>
        <w:rPr>
          <w:rFonts w:hint="eastAsia" w:ascii="仿宋" w:hAnsi="仿宋" w:eastAsia="仿宋"/>
          <w:color w:val="auto"/>
          <w:sz w:val="24"/>
        </w:rPr>
        <w:t>采购人：重庆市住房和城乡建设技术发展中心（重庆市建筑节能中心）</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联系人：李想</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电  话：</w:t>
      </w:r>
      <w:r>
        <w:rPr>
          <w:rFonts w:ascii="仿宋" w:hAnsi="仿宋" w:eastAsia="仿宋"/>
          <w:color w:val="auto"/>
          <w:sz w:val="24"/>
        </w:rPr>
        <w:t>13883633433</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地  址：重庆市渝北区</w:t>
      </w:r>
      <w:r>
        <w:rPr>
          <w:rFonts w:ascii="仿宋" w:hAnsi="仿宋" w:eastAsia="仿宋"/>
          <w:color w:val="auto"/>
          <w:sz w:val="24"/>
        </w:rPr>
        <w:t>余松路155号，两江春城4栋</w:t>
      </w:r>
    </w:p>
    <w:p>
      <w:pPr>
        <w:snapToGrid w:val="0"/>
        <w:spacing w:line="500" w:lineRule="exact"/>
        <w:ind w:firstLine="480"/>
        <w:rPr>
          <w:rFonts w:ascii="仿宋" w:hAnsi="仿宋" w:eastAsia="仿宋"/>
          <w:color w:val="auto"/>
          <w:sz w:val="24"/>
        </w:rPr>
      </w:pPr>
      <w:r>
        <w:rPr>
          <w:rFonts w:ascii="仿宋" w:hAnsi="仿宋" w:eastAsia="仿宋"/>
          <w:color w:val="auto"/>
          <w:sz w:val="24"/>
        </w:rPr>
        <w:t>（二）采购代理机构：重庆市建标工程技术有限公司</w:t>
      </w:r>
    </w:p>
    <w:p>
      <w:pPr>
        <w:snapToGrid w:val="0"/>
        <w:spacing w:line="500" w:lineRule="exact"/>
        <w:ind w:firstLine="480"/>
        <w:rPr>
          <w:rFonts w:ascii="仿宋" w:hAnsi="仿宋" w:eastAsia="仿宋"/>
          <w:color w:val="auto"/>
          <w:sz w:val="24"/>
        </w:rPr>
      </w:pPr>
      <w:r>
        <w:rPr>
          <w:rFonts w:ascii="仿宋" w:hAnsi="仿宋" w:eastAsia="仿宋"/>
          <w:color w:val="auto"/>
          <w:sz w:val="24"/>
        </w:rPr>
        <w:t>联系人：</w:t>
      </w:r>
      <w:r>
        <w:rPr>
          <w:rFonts w:hint="eastAsia" w:ascii="仿宋" w:hAnsi="仿宋" w:eastAsia="仿宋"/>
          <w:color w:val="auto"/>
          <w:sz w:val="24"/>
        </w:rPr>
        <w:t>孙相辉</w:t>
      </w:r>
    </w:p>
    <w:p>
      <w:pPr>
        <w:snapToGrid w:val="0"/>
        <w:spacing w:line="500" w:lineRule="exact"/>
        <w:ind w:firstLine="480"/>
        <w:rPr>
          <w:rFonts w:ascii="仿宋" w:hAnsi="仿宋" w:eastAsia="仿宋"/>
          <w:color w:val="auto"/>
          <w:sz w:val="24"/>
        </w:rPr>
      </w:pPr>
      <w:r>
        <w:rPr>
          <w:rFonts w:ascii="仿宋" w:hAnsi="仿宋" w:eastAsia="仿宋"/>
          <w:color w:val="auto"/>
          <w:sz w:val="24"/>
        </w:rPr>
        <w:t>电  话：</w:t>
      </w:r>
      <w:r>
        <w:rPr>
          <w:rFonts w:hint="eastAsia" w:ascii="仿宋" w:hAnsi="仿宋" w:eastAsia="仿宋"/>
          <w:color w:val="auto"/>
          <w:sz w:val="24"/>
        </w:rPr>
        <w:t>17723102230</w:t>
      </w:r>
    </w:p>
    <w:p>
      <w:pPr>
        <w:snapToGrid w:val="0"/>
        <w:spacing w:line="500" w:lineRule="exact"/>
        <w:ind w:firstLine="480"/>
        <w:rPr>
          <w:rFonts w:ascii="仿宋" w:hAnsi="仿宋" w:eastAsia="仿宋"/>
          <w:color w:val="auto"/>
          <w:sz w:val="24"/>
        </w:rPr>
      </w:pPr>
      <w:r>
        <w:rPr>
          <w:rFonts w:ascii="仿宋" w:hAnsi="仿宋" w:eastAsia="仿宋"/>
          <w:color w:val="auto"/>
          <w:sz w:val="24"/>
        </w:rPr>
        <w:t>地  址：</w:t>
      </w:r>
      <w:r>
        <w:rPr>
          <w:rFonts w:hint="eastAsia" w:ascii="仿宋" w:hAnsi="仿宋" w:eastAsia="仿宋"/>
          <w:color w:val="auto"/>
          <w:sz w:val="24"/>
        </w:rPr>
        <w:t>重庆市渝北区</w:t>
      </w:r>
      <w:r>
        <w:rPr>
          <w:rFonts w:ascii="仿宋" w:hAnsi="仿宋" w:eastAsia="仿宋"/>
          <w:color w:val="auto"/>
          <w:sz w:val="24"/>
        </w:rPr>
        <w:t>余松路155号，两江春城4栋7楼</w:t>
      </w:r>
    </w:p>
    <w:p>
      <w:pPr>
        <w:snapToGrid w:val="0"/>
        <w:spacing w:line="400" w:lineRule="exact"/>
        <w:ind w:firstLine="480"/>
        <w:rPr>
          <w:rFonts w:ascii="方正仿宋_GBK" w:eastAsia="方正仿宋_GBK"/>
          <w:color w:val="auto"/>
          <w:sz w:val="24"/>
        </w:rPr>
      </w:pPr>
    </w:p>
    <w:p>
      <w:pPr>
        <w:snapToGrid w:val="0"/>
        <w:spacing w:line="400" w:lineRule="exact"/>
        <w:ind w:firstLine="480"/>
        <w:rPr>
          <w:color w:val="auto"/>
        </w:rPr>
        <w:sectPr>
          <w:footerReference r:id="rId5" w:type="default"/>
          <w:pgSz w:w="11907" w:h="16840"/>
          <w:pgMar w:top="1134" w:right="1418" w:bottom="1134" w:left="1418" w:header="964" w:footer="992" w:gutter="0"/>
          <w:pgNumType w:start="1"/>
          <w:cols w:space="720" w:num="1"/>
          <w:docGrid w:linePitch="312" w:charSpace="0"/>
        </w:sectPr>
      </w:pPr>
    </w:p>
    <w:p>
      <w:pPr>
        <w:keepNext/>
        <w:keepLines/>
        <w:snapToGrid w:val="0"/>
        <w:spacing w:line="360" w:lineRule="auto"/>
        <w:jc w:val="center"/>
        <w:outlineLvl w:val="0"/>
        <w:rPr>
          <w:rFonts w:ascii="方正小标宋_GBK" w:eastAsia="方正小标宋_GBK"/>
          <w:color w:val="auto"/>
          <w:sz w:val="30"/>
        </w:rPr>
      </w:pPr>
      <w:bookmarkStart w:id="9" w:name="_Toc13326"/>
      <w:bookmarkStart w:id="10" w:name="_Toc9494"/>
      <w:r>
        <w:rPr>
          <w:rFonts w:hint="eastAsia" w:ascii="方正小标宋_GBK" w:eastAsia="方正小标宋_GBK"/>
          <w:color w:val="auto"/>
          <w:sz w:val="36"/>
        </w:rPr>
        <w:t>第二篇  项目服务需求</w:t>
      </w:r>
      <w:bookmarkEnd w:id="9"/>
      <w:bookmarkEnd w:id="10"/>
    </w:p>
    <w:p>
      <w:pPr>
        <w:snapToGrid w:val="0"/>
        <w:spacing w:line="360" w:lineRule="auto"/>
        <w:ind w:firstLine="422"/>
        <w:rPr>
          <w:rFonts w:ascii="仿宋" w:hAnsi="仿宋" w:eastAsia="仿宋"/>
          <w:b/>
          <w:color w:val="auto"/>
          <w:sz w:val="24"/>
        </w:rPr>
      </w:pPr>
      <w:r>
        <w:rPr>
          <w:rFonts w:hint="eastAsia" w:ascii="仿宋" w:hAnsi="仿宋" w:eastAsia="仿宋"/>
          <w:b/>
          <w:color w:val="auto"/>
          <w:sz w:val="24"/>
        </w:rPr>
        <w:t>“※”标注的要求为符合性审查中的实质性要求，响应文件若不满足按无效响应处理。</w:t>
      </w:r>
    </w:p>
    <w:p>
      <w:pPr>
        <w:keepNext/>
        <w:keepLines/>
        <w:numPr>
          <w:ilvl w:val="0"/>
          <w:numId w:val="1"/>
        </w:numPr>
        <w:snapToGrid w:val="0"/>
        <w:spacing w:line="500" w:lineRule="exact"/>
        <w:rPr>
          <w:rFonts w:ascii="仿宋" w:hAnsi="仿宋" w:eastAsia="仿宋"/>
          <w:b/>
          <w:color w:val="auto"/>
          <w:sz w:val="28"/>
        </w:rPr>
      </w:pPr>
      <w:r>
        <w:rPr>
          <w:rFonts w:hint="eastAsia" w:ascii="仿宋" w:hAnsi="仿宋" w:eastAsia="仿宋"/>
          <w:b/>
          <w:color w:val="auto"/>
          <w:sz w:val="28"/>
        </w:rPr>
        <w:t>项目背景</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为深入贯彻习近平总书记关于推动成渝地区双城经济圈建设的重要讲话精神，全面落实成渝地区双城经济圈建设规划纲要，协调推进成渝地区住房城乡建设领域高质量发展，促进双方交流合作，切实把国家战略转化为发展实效，根据</w:t>
      </w:r>
      <w:r>
        <w:rPr>
          <w:rFonts w:ascii="仿宋" w:hAnsi="仿宋" w:eastAsia="仿宋"/>
          <w:color w:val="auto"/>
          <w:sz w:val="24"/>
        </w:rPr>
        <w:t>2020年重庆市住房城乡建委和四川省住房城乡建设厅签订的《川渝住房城乡建设博览会备忘录》约定，第二届川渝住房城乡建设博览会（以下简称川渝住博会）将在重庆举办。</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本届川渝住博会</w:t>
      </w:r>
      <w:r>
        <w:rPr>
          <w:rFonts w:ascii="仿宋" w:hAnsi="仿宋" w:eastAsia="仿宋"/>
          <w:color w:val="auto"/>
          <w:sz w:val="24"/>
        </w:rPr>
        <w:t>将按照“1+2+7+N”的思路，通过“1个展览、2场主体活动、7场专项论坛、N项配套活动”，全方位展示川渝两地高品质生活宜居地建设成果，呈现川渝住房城乡建设科技水平，携手推动城市更新行动，共享成渝经济合作圈新商机，助力川渝住房城乡建设事业高质量发展，打造川渝合作典范，形成引领西部、辐射全国、具有较大影响力的品牌行业展会。</w:t>
      </w:r>
    </w:p>
    <w:p>
      <w:pPr>
        <w:keepNext/>
        <w:snapToGrid w:val="0"/>
        <w:spacing w:line="500" w:lineRule="exact"/>
        <w:ind w:left="40" w:firstLine="281"/>
        <w:rPr>
          <w:rFonts w:ascii="仿宋" w:hAnsi="仿宋" w:eastAsia="仿宋"/>
          <w:b/>
          <w:color w:val="auto"/>
          <w:sz w:val="28"/>
        </w:rPr>
      </w:pPr>
      <w:r>
        <w:rPr>
          <w:rFonts w:ascii="仿宋" w:hAnsi="仿宋" w:eastAsia="仿宋"/>
          <w:b/>
          <w:color w:val="auto"/>
          <w:sz w:val="28"/>
        </w:rPr>
        <w:t>※</w:t>
      </w:r>
      <w:r>
        <w:rPr>
          <w:rFonts w:hint="eastAsia" w:ascii="仿宋" w:hAnsi="仿宋" w:eastAsia="仿宋"/>
          <w:b/>
          <w:color w:val="auto"/>
          <w:sz w:val="28"/>
        </w:rPr>
        <w:t>二、展会主题、展馆规模及展示内容</w:t>
      </w:r>
    </w:p>
    <w:p>
      <w:pPr>
        <w:snapToGrid w:val="0"/>
        <w:spacing w:line="500" w:lineRule="exact"/>
        <w:ind w:firstLine="480"/>
        <w:rPr>
          <w:rFonts w:ascii="仿宋" w:hAnsi="仿宋" w:eastAsia="仿宋"/>
          <w:color w:val="auto"/>
          <w:sz w:val="24"/>
        </w:rPr>
      </w:pPr>
      <w:r>
        <w:rPr>
          <w:rFonts w:ascii="仿宋" w:hAnsi="仿宋" w:eastAsia="仿宋"/>
          <w:color w:val="auto"/>
          <w:sz w:val="24"/>
        </w:rPr>
        <w:t>（</w:t>
      </w:r>
      <w:r>
        <w:rPr>
          <w:rFonts w:hint="eastAsia" w:ascii="仿宋" w:hAnsi="仿宋" w:eastAsia="仿宋"/>
          <w:color w:val="auto"/>
          <w:sz w:val="24"/>
        </w:rPr>
        <w:t>一</w:t>
      </w:r>
      <w:r>
        <w:rPr>
          <w:rFonts w:ascii="仿宋" w:hAnsi="仿宋" w:eastAsia="仿宋"/>
          <w:color w:val="auto"/>
          <w:sz w:val="24"/>
        </w:rPr>
        <w:t>）展会主题</w:t>
      </w:r>
    </w:p>
    <w:p>
      <w:pPr>
        <w:spacing w:line="500" w:lineRule="exact"/>
        <w:ind w:firstLine="480" w:firstLineChars="200"/>
        <w:jc w:val="left"/>
        <w:rPr>
          <w:rFonts w:ascii="仿宋" w:hAnsi="仿宋" w:eastAsia="仿宋"/>
          <w:color w:val="auto"/>
          <w:sz w:val="24"/>
        </w:rPr>
      </w:pPr>
      <w:r>
        <w:rPr>
          <w:rFonts w:ascii="仿宋" w:hAnsi="仿宋" w:eastAsia="仿宋"/>
          <w:color w:val="auto"/>
          <w:sz w:val="24"/>
        </w:rPr>
        <w:t>川渝合作 共建高品质生活宜居地</w:t>
      </w:r>
    </w:p>
    <w:p>
      <w:pPr>
        <w:snapToGrid w:val="0"/>
        <w:spacing w:line="500" w:lineRule="exact"/>
        <w:ind w:firstLine="480"/>
        <w:rPr>
          <w:rFonts w:ascii="仿宋" w:hAnsi="仿宋" w:eastAsia="仿宋"/>
          <w:color w:val="auto"/>
          <w:sz w:val="24"/>
        </w:rPr>
      </w:pPr>
      <w:r>
        <w:rPr>
          <w:rFonts w:ascii="仿宋" w:hAnsi="仿宋" w:eastAsia="仿宋"/>
          <w:color w:val="auto"/>
          <w:sz w:val="24"/>
        </w:rPr>
        <w:t>（</w:t>
      </w:r>
      <w:r>
        <w:rPr>
          <w:rFonts w:hint="eastAsia" w:ascii="仿宋" w:hAnsi="仿宋" w:eastAsia="仿宋"/>
          <w:color w:val="auto"/>
          <w:sz w:val="24"/>
        </w:rPr>
        <w:t>二）</w:t>
      </w:r>
      <w:r>
        <w:rPr>
          <w:rFonts w:ascii="仿宋" w:hAnsi="仿宋" w:eastAsia="仿宋"/>
          <w:color w:val="auto"/>
          <w:sz w:val="24"/>
        </w:rPr>
        <w:t>展馆规模及展示内容</w:t>
      </w:r>
    </w:p>
    <w:p>
      <w:pPr>
        <w:snapToGrid w:val="0"/>
        <w:spacing w:line="500" w:lineRule="exact"/>
        <w:ind w:firstLine="480"/>
        <w:rPr>
          <w:rFonts w:hint="default" w:ascii="仿宋" w:hAnsi="仿宋" w:eastAsia="仿宋"/>
          <w:color w:val="auto"/>
          <w:sz w:val="24"/>
          <w:vertAlign w:val="superscript"/>
          <w:lang w:val="en-US" w:eastAsia="zh-CN"/>
        </w:rPr>
      </w:pPr>
      <w:r>
        <w:rPr>
          <w:rFonts w:hint="eastAsia" w:ascii="仿宋" w:hAnsi="仿宋" w:eastAsia="仿宋"/>
          <w:color w:val="auto"/>
          <w:sz w:val="24"/>
        </w:rPr>
        <w:t>重庆主题展馆面积约为</w:t>
      </w:r>
      <w:r>
        <w:rPr>
          <w:rFonts w:hint="eastAsia" w:ascii="仿宋" w:hAnsi="仿宋" w:eastAsia="仿宋"/>
          <w:color w:val="auto"/>
          <w:sz w:val="24"/>
          <w:lang w:eastAsia="zh-CN"/>
        </w:rPr>
        <w:t>266</w:t>
      </w:r>
      <w:r>
        <w:rPr>
          <w:rFonts w:hint="eastAsia" w:ascii="仿宋" w:hAnsi="仿宋" w:eastAsia="仿宋"/>
          <w:color w:val="auto"/>
          <w:sz w:val="24"/>
        </w:rPr>
        <w:t>m</w:t>
      </w:r>
      <w:r>
        <w:rPr>
          <w:rFonts w:hint="eastAsia" w:ascii="仿宋" w:hAnsi="仿宋" w:eastAsia="仿宋"/>
          <w:color w:val="auto"/>
          <w:sz w:val="24"/>
          <w:vertAlign w:val="superscript"/>
        </w:rPr>
        <w:t>2</w:t>
      </w:r>
      <w:r>
        <w:rPr>
          <w:rFonts w:hint="eastAsia" w:ascii="仿宋" w:hAnsi="仿宋" w:eastAsia="仿宋"/>
          <w:color w:val="auto"/>
          <w:sz w:val="24"/>
          <w:lang w:eastAsia="zh-CN"/>
        </w:rPr>
        <w:t>，</w:t>
      </w:r>
      <w:r>
        <w:rPr>
          <w:rFonts w:hint="eastAsia" w:ascii="仿宋" w:hAnsi="仿宋" w:eastAsia="仿宋"/>
          <w:color w:val="auto"/>
          <w:sz w:val="24"/>
          <w:lang w:val="en-US" w:eastAsia="zh-CN"/>
        </w:rPr>
        <w:t xml:space="preserve">其中长约19 m,宽约14 m。具体详见附件1《2022川渝住博会一号馆展位规划图》。    </w:t>
      </w:r>
      <w:r>
        <w:rPr>
          <w:rFonts w:hint="eastAsia" w:ascii="仿宋" w:hAnsi="仿宋" w:eastAsia="仿宋"/>
          <w:color w:val="auto"/>
          <w:sz w:val="24"/>
          <w:vertAlign w:val="superscript"/>
          <w:lang w:val="en-US" w:eastAsia="zh-CN"/>
        </w:rPr>
        <w:t xml:space="preserve">        </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展馆全方位展示重庆高品质生活宜居地建设成果、城市提升持续实施行动、城市人居环境显著改善、住房保障体系建设、房地产市场平稳健康发展、扎实开展乡村建设行动、建筑业转型升级、智能建造与装配式建筑取得重大突破等内容。</w:t>
      </w:r>
    </w:p>
    <w:p>
      <w:pPr>
        <w:snapToGrid w:val="0"/>
        <w:spacing w:line="500" w:lineRule="exact"/>
        <w:ind w:firstLine="480"/>
        <w:rPr>
          <w:rFonts w:hint="eastAsia" w:ascii="仿宋" w:hAnsi="仿宋" w:eastAsia="仿宋"/>
          <w:color w:val="auto"/>
          <w:sz w:val="24"/>
          <w:lang w:val="en-US" w:eastAsia="zh-CN"/>
        </w:rPr>
      </w:pPr>
      <w:r>
        <w:rPr>
          <w:rFonts w:hint="eastAsia" w:ascii="仿宋" w:hAnsi="仿宋" w:eastAsia="仿宋"/>
          <w:color w:val="auto"/>
          <w:sz w:val="24"/>
        </w:rPr>
        <w:t>序馆面积约为</w:t>
      </w:r>
      <w:r>
        <w:rPr>
          <w:rFonts w:hint="eastAsia" w:ascii="仿宋" w:hAnsi="仿宋" w:eastAsia="仿宋"/>
          <w:color w:val="auto"/>
          <w:sz w:val="24"/>
          <w:u w:val="none"/>
          <w:lang w:val="en-US" w:eastAsia="zh-CN"/>
        </w:rPr>
        <w:t>504</w:t>
      </w:r>
      <w:r>
        <w:rPr>
          <w:rFonts w:hint="eastAsia" w:ascii="仿宋" w:hAnsi="仿宋" w:eastAsia="仿宋"/>
          <w:color w:val="auto"/>
          <w:sz w:val="24"/>
        </w:rPr>
        <w:t>m</w:t>
      </w:r>
      <w:r>
        <w:rPr>
          <w:rFonts w:hint="eastAsia" w:ascii="仿宋" w:hAnsi="仿宋" w:eastAsia="仿宋"/>
          <w:color w:val="auto"/>
          <w:sz w:val="24"/>
          <w:vertAlign w:val="superscript"/>
        </w:rPr>
        <w:t>2</w:t>
      </w:r>
      <w:r>
        <w:rPr>
          <w:rFonts w:hint="eastAsia" w:ascii="仿宋" w:hAnsi="仿宋" w:eastAsia="仿宋"/>
          <w:color w:val="auto"/>
          <w:sz w:val="24"/>
          <w:lang w:eastAsia="zh-CN"/>
        </w:rPr>
        <w:t>，</w:t>
      </w:r>
      <w:r>
        <w:rPr>
          <w:rFonts w:hint="eastAsia" w:ascii="仿宋" w:hAnsi="仿宋" w:eastAsia="仿宋"/>
          <w:color w:val="auto"/>
          <w:sz w:val="24"/>
          <w:lang w:val="en-US" w:eastAsia="zh-CN"/>
        </w:rPr>
        <w:t>其中长约</w:t>
      </w:r>
      <w:r>
        <w:rPr>
          <w:rFonts w:hint="eastAsia" w:ascii="仿宋" w:hAnsi="仿宋" w:eastAsia="仿宋"/>
          <w:color w:val="auto"/>
          <w:sz w:val="24"/>
          <w:u w:val="none"/>
          <w:lang w:val="en-US" w:eastAsia="zh-CN"/>
        </w:rPr>
        <w:t>36</w:t>
      </w:r>
      <w:r>
        <w:rPr>
          <w:rFonts w:hint="eastAsia" w:ascii="仿宋" w:hAnsi="仿宋" w:eastAsia="仿宋"/>
          <w:color w:val="auto"/>
          <w:sz w:val="24"/>
          <w:lang w:val="en-US" w:eastAsia="zh-CN"/>
        </w:rPr>
        <w:t>m,宽约</w:t>
      </w:r>
      <w:r>
        <w:rPr>
          <w:rFonts w:hint="eastAsia" w:ascii="仿宋" w:hAnsi="仿宋" w:eastAsia="仿宋"/>
          <w:color w:val="auto"/>
          <w:sz w:val="24"/>
          <w:u w:val="none"/>
          <w:lang w:val="en-US" w:eastAsia="zh-CN"/>
        </w:rPr>
        <w:t>14</w:t>
      </w:r>
      <w:r>
        <w:rPr>
          <w:rFonts w:hint="eastAsia" w:ascii="仿宋" w:hAnsi="仿宋" w:eastAsia="仿宋"/>
          <w:color w:val="auto"/>
          <w:sz w:val="24"/>
          <w:lang w:val="en-US" w:eastAsia="zh-CN"/>
        </w:rPr>
        <w:t>m，具体详见附件1《2022川渝住博会一号馆展位规划图》。</w:t>
      </w:r>
    </w:p>
    <w:p>
      <w:pPr>
        <w:snapToGrid w:val="0"/>
        <w:spacing w:line="500" w:lineRule="exact"/>
        <w:ind w:firstLine="480" w:firstLineChars="200"/>
        <w:rPr>
          <w:rFonts w:hint="eastAsia" w:ascii="仿宋" w:hAnsi="仿宋" w:eastAsia="仿宋"/>
          <w:color w:val="auto"/>
          <w:sz w:val="24"/>
        </w:rPr>
      </w:pPr>
      <w:r>
        <w:rPr>
          <w:rFonts w:hint="eastAsia" w:ascii="仿宋" w:hAnsi="仿宋" w:eastAsia="仿宋"/>
          <w:color w:val="auto"/>
          <w:sz w:val="24"/>
        </w:rPr>
        <w:t>序馆集中展示川渝地区双城经济圈建设历程、川渝毗邻地区城市群建设和区域合作、川渝住建合作重大项目、建筑市场一体化发展、川渝房地产展示平台建设、川渝住房保障共享合作、川渝住房公积金共建共享、川渝建设职教联盟以及住房城乡建设其他方面取得的合作成果等内容。</w:t>
      </w:r>
    </w:p>
    <w:p>
      <w:pPr>
        <w:snapToGrid w:val="0"/>
        <w:spacing w:line="500" w:lineRule="exact"/>
        <w:ind w:firstLine="480"/>
        <w:rPr>
          <w:rFonts w:hint="default" w:ascii="仿宋" w:hAnsi="仿宋" w:eastAsia="仿宋"/>
          <w:color w:val="auto"/>
          <w:sz w:val="24"/>
          <w:lang w:val="en-US" w:eastAsia="zh-CN"/>
        </w:rPr>
      </w:pPr>
    </w:p>
    <w:p>
      <w:pPr>
        <w:snapToGrid w:val="0"/>
        <w:spacing w:line="500" w:lineRule="exact"/>
        <w:ind w:firstLine="562"/>
        <w:jc w:val="left"/>
        <w:rPr>
          <w:rFonts w:ascii="仿宋" w:hAnsi="仿宋" w:eastAsia="仿宋"/>
          <w:b/>
          <w:color w:val="auto"/>
          <w:sz w:val="28"/>
        </w:rPr>
      </w:pPr>
      <w:r>
        <w:rPr>
          <w:rFonts w:ascii="仿宋" w:hAnsi="仿宋" w:eastAsia="仿宋"/>
          <w:b/>
          <w:color w:val="auto"/>
          <w:sz w:val="28"/>
        </w:rPr>
        <w:t>※</w:t>
      </w:r>
      <w:r>
        <w:rPr>
          <w:rFonts w:hint="eastAsia" w:ascii="仿宋" w:hAnsi="仿宋" w:eastAsia="仿宋"/>
          <w:b/>
          <w:color w:val="auto"/>
          <w:sz w:val="28"/>
        </w:rPr>
        <w:t>三、</w:t>
      </w:r>
      <w:r>
        <w:rPr>
          <w:rFonts w:ascii="仿宋" w:hAnsi="仿宋" w:eastAsia="仿宋"/>
          <w:b/>
          <w:color w:val="auto"/>
          <w:sz w:val="28"/>
        </w:rPr>
        <w:t>设计内容与要求</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（一）设计内容</w:t>
      </w:r>
    </w:p>
    <w:p>
      <w:pPr>
        <w:snapToGrid w:val="0"/>
        <w:spacing w:line="500" w:lineRule="exact"/>
        <w:ind w:firstLine="48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重庆</w:t>
      </w:r>
      <w:r>
        <w:rPr>
          <w:rFonts w:ascii="仿宋" w:hAnsi="仿宋" w:eastAsia="仿宋"/>
          <w:color w:val="auto"/>
          <w:sz w:val="24"/>
        </w:rPr>
        <w:t>主题展馆及序馆展厅总体创意策划、初步</w:t>
      </w:r>
      <w:r>
        <w:rPr>
          <w:rFonts w:hint="eastAsia" w:ascii="仿宋" w:hAnsi="仿宋" w:eastAsia="仿宋"/>
          <w:color w:val="auto"/>
          <w:sz w:val="24"/>
        </w:rPr>
        <w:t>及详细</w:t>
      </w:r>
      <w:r>
        <w:rPr>
          <w:rFonts w:ascii="仿宋" w:hAnsi="仿宋" w:eastAsia="仿宋"/>
          <w:color w:val="auto"/>
          <w:sz w:val="24"/>
        </w:rPr>
        <w:t>方案设计，涵盖展厅外观设计、平面布局设计、</w:t>
      </w:r>
      <w:r>
        <w:rPr>
          <w:rFonts w:hint="eastAsia" w:ascii="仿宋" w:hAnsi="仿宋" w:eastAsia="仿宋"/>
          <w:color w:val="auto"/>
          <w:sz w:val="24"/>
        </w:rPr>
        <w:t>空间效果图设计、</w:t>
      </w:r>
      <w:r>
        <w:rPr>
          <w:rFonts w:ascii="仿宋" w:hAnsi="仿宋" w:eastAsia="仿宋"/>
          <w:color w:val="auto"/>
          <w:sz w:val="24"/>
        </w:rPr>
        <w:t>立面设计和展示墙样板设计</w:t>
      </w:r>
      <w:r>
        <w:rPr>
          <w:rFonts w:hint="eastAsia" w:ascii="仿宋" w:hAnsi="仿宋" w:eastAsia="仿宋"/>
          <w:color w:val="auto"/>
          <w:sz w:val="24"/>
        </w:rPr>
        <w:t>、</w:t>
      </w:r>
      <w:r>
        <w:rPr>
          <w:rFonts w:ascii="仿宋" w:hAnsi="仿宋" w:eastAsia="仿宋"/>
          <w:color w:val="auto"/>
          <w:sz w:val="24"/>
        </w:rPr>
        <w:t>设计</w:t>
      </w:r>
      <w:r>
        <w:rPr>
          <w:rFonts w:hint="eastAsia" w:ascii="仿宋" w:hAnsi="仿宋" w:eastAsia="仿宋"/>
          <w:color w:val="auto"/>
          <w:sz w:val="24"/>
        </w:rPr>
        <w:t>方案</w:t>
      </w:r>
      <w:r>
        <w:rPr>
          <w:rFonts w:ascii="仿宋" w:hAnsi="仿宋" w:eastAsia="仿宋"/>
          <w:color w:val="auto"/>
          <w:sz w:val="24"/>
        </w:rPr>
        <w:t>概</w:t>
      </w:r>
      <w:r>
        <w:rPr>
          <w:rFonts w:hint="eastAsia" w:ascii="仿宋" w:hAnsi="仿宋" w:eastAsia="仿宋"/>
          <w:color w:val="auto"/>
          <w:sz w:val="24"/>
        </w:rPr>
        <w:t>（</w:t>
      </w:r>
      <w:r>
        <w:rPr>
          <w:rFonts w:ascii="仿宋" w:hAnsi="仿宋" w:eastAsia="仿宋"/>
          <w:color w:val="auto"/>
          <w:sz w:val="24"/>
        </w:rPr>
        <w:t>预</w:t>
      </w:r>
      <w:r>
        <w:rPr>
          <w:rFonts w:hint="eastAsia" w:ascii="仿宋" w:hAnsi="仿宋" w:eastAsia="仿宋"/>
          <w:color w:val="auto"/>
          <w:sz w:val="24"/>
        </w:rPr>
        <w:t>）</w:t>
      </w:r>
      <w:r>
        <w:rPr>
          <w:rFonts w:ascii="仿宋" w:hAnsi="仿宋" w:eastAsia="仿宋"/>
          <w:color w:val="auto"/>
          <w:sz w:val="24"/>
        </w:rPr>
        <w:t>算的编制等。</w:t>
      </w:r>
    </w:p>
    <w:p>
      <w:pPr>
        <w:snapToGrid w:val="0"/>
        <w:spacing w:line="500" w:lineRule="exact"/>
        <w:ind w:firstLine="480"/>
        <w:rPr>
          <w:rFonts w:ascii="仿宋" w:hAnsi="仿宋" w:eastAsia="仿宋"/>
          <w:color w:val="auto"/>
          <w:sz w:val="24"/>
        </w:rPr>
      </w:pPr>
      <w:r>
        <w:rPr>
          <w:rFonts w:ascii="仿宋" w:hAnsi="仿宋" w:eastAsia="仿宋"/>
          <w:color w:val="auto"/>
          <w:sz w:val="24"/>
        </w:rPr>
        <w:t>2、基于设计方案的观展动线、展示方式设计等。</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（二）设计要求</w:t>
      </w:r>
    </w:p>
    <w:p>
      <w:pPr>
        <w:spacing w:line="500" w:lineRule="exact"/>
        <w:ind w:firstLine="640"/>
        <w:rPr>
          <w:rFonts w:hint="default" w:ascii="仿宋" w:hAnsi="仿宋" w:eastAsia="仿宋"/>
          <w:color w:val="auto"/>
          <w:sz w:val="24"/>
          <w:lang w:val="en-US" w:eastAsia="zh-CN"/>
        </w:rPr>
      </w:pPr>
      <w:r>
        <w:rPr>
          <w:rFonts w:ascii="仿宋" w:hAnsi="仿宋" w:eastAsia="仿宋"/>
          <w:color w:val="auto"/>
          <w:sz w:val="24"/>
        </w:rPr>
        <w:t>1、展馆</w:t>
      </w:r>
      <w:r>
        <w:rPr>
          <w:rFonts w:hint="eastAsia" w:ascii="仿宋" w:hAnsi="仿宋" w:eastAsia="仿宋"/>
          <w:color w:val="auto"/>
          <w:sz w:val="24"/>
        </w:rPr>
        <w:t>设计方案整体</w:t>
      </w:r>
      <w:r>
        <w:rPr>
          <w:rFonts w:ascii="仿宋" w:hAnsi="仿宋" w:eastAsia="仿宋"/>
          <w:color w:val="auto"/>
          <w:sz w:val="24"/>
        </w:rPr>
        <w:t>创意新颖，</w:t>
      </w:r>
      <w:r>
        <w:rPr>
          <w:rFonts w:hint="eastAsia" w:ascii="仿宋" w:hAnsi="仿宋" w:eastAsia="仿宋"/>
          <w:color w:val="auto"/>
          <w:sz w:val="24"/>
        </w:rPr>
        <w:t>造型美观大方，特色突出，具备</w:t>
      </w:r>
      <w:r>
        <w:rPr>
          <w:rFonts w:ascii="仿宋" w:hAnsi="仿宋" w:eastAsia="仿宋"/>
          <w:color w:val="auto"/>
          <w:sz w:val="24"/>
        </w:rPr>
        <w:t>科技感</w:t>
      </w:r>
      <w:r>
        <w:rPr>
          <w:rFonts w:hint="eastAsia" w:ascii="仿宋" w:hAnsi="仿宋" w:eastAsia="仿宋"/>
          <w:color w:val="auto"/>
          <w:sz w:val="24"/>
        </w:rPr>
        <w:t>；展馆眉头标识醒目，活动现场宣传氛围设计精美并具备吸引力</w:t>
      </w:r>
      <w:r>
        <w:rPr>
          <w:rFonts w:hint="eastAsia" w:ascii="仿宋" w:hAnsi="仿宋" w:eastAsia="仿宋"/>
          <w:color w:val="auto"/>
          <w:sz w:val="24"/>
          <w:lang w:eastAsia="zh-CN"/>
        </w:rPr>
        <w:t>；</w:t>
      </w:r>
      <w:r>
        <w:rPr>
          <w:rFonts w:hint="eastAsia" w:ascii="仿宋" w:hAnsi="仿宋" w:eastAsia="仿宋"/>
          <w:color w:val="auto"/>
          <w:sz w:val="24"/>
          <w:lang w:val="en-US" w:eastAsia="zh-CN"/>
        </w:rPr>
        <w:t>方案整体设计科学合理，便于后续搭建工序的实施。</w:t>
      </w:r>
    </w:p>
    <w:p>
      <w:pPr>
        <w:snapToGrid w:val="0"/>
        <w:spacing w:line="500" w:lineRule="exact"/>
        <w:ind w:firstLine="600" w:firstLineChars="25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展示方式兼顾专业人士、市民</w:t>
      </w:r>
      <w:r>
        <w:rPr>
          <w:rFonts w:hint="eastAsia" w:ascii="仿宋" w:hAnsi="仿宋" w:eastAsia="仿宋"/>
          <w:color w:val="auto"/>
          <w:sz w:val="24"/>
        </w:rPr>
        <w:t>等多</w:t>
      </w:r>
      <w:r>
        <w:rPr>
          <w:rFonts w:ascii="仿宋" w:hAnsi="仿宋" w:eastAsia="仿宋"/>
          <w:color w:val="auto"/>
          <w:sz w:val="24"/>
        </w:rPr>
        <w:t>层次，可考虑LED屏、透明OLED屏、触摸屏、3D动画、AR实景、VR虚拟现实、全息投影、激光投影、数字沙盘、场景体验互动等。具体展示方式可就当前需求和最新展示技术确定，但要确保可行性强、展示效果好、视觉冲击力强。</w:t>
      </w:r>
    </w:p>
    <w:p>
      <w:pPr>
        <w:snapToGrid w:val="0"/>
        <w:spacing w:line="500" w:lineRule="exact"/>
        <w:ind w:left="500" w:leftChars="250"/>
        <w:rPr>
          <w:rFonts w:ascii="仿宋" w:hAnsi="仿宋" w:eastAsia="仿宋"/>
          <w:color w:val="auto"/>
          <w:sz w:val="24"/>
          <w:u w:val="none"/>
        </w:rPr>
      </w:pPr>
      <w:r>
        <w:rPr>
          <w:rFonts w:hint="eastAsia" w:ascii="仿宋" w:hAnsi="仿宋" w:eastAsia="仿宋"/>
          <w:color w:val="auto"/>
          <w:sz w:val="24"/>
          <w:u w:val="none"/>
        </w:rPr>
        <w:t>（三）设计深度要求</w:t>
      </w:r>
    </w:p>
    <w:p>
      <w:pPr>
        <w:snapToGrid w:val="0"/>
        <w:spacing w:line="500" w:lineRule="exact"/>
        <w:ind w:left="500" w:leftChars="250"/>
        <w:rPr>
          <w:rFonts w:ascii="仿宋" w:hAnsi="仿宋" w:eastAsia="仿宋"/>
          <w:color w:val="auto"/>
          <w:sz w:val="24"/>
          <w:u w:val="none"/>
        </w:rPr>
      </w:pPr>
      <w:r>
        <w:rPr>
          <w:rFonts w:hint="eastAsia" w:ascii="仿宋" w:hAnsi="仿宋" w:eastAsia="仿宋"/>
          <w:color w:val="auto"/>
          <w:sz w:val="24"/>
          <w:u w:val="none"/>
        </w:rPr>
        <w:t xml:space="preserve"> 参考附件</w:t>
      </w:r>
      <w:r>
        <w:rPr>
          <w:rFonts w:hint="eastAsia" w:ascii="仿宋" w:hAnsi="仿宋" w:eastAsia="仿宋"/>
          <w:color w:val="auto"/>
          <w:sz w:val="24"/>
          <w:u w:val="none"/>
          <w:lang w:val="en-US" w:eastAsia="zh-CN"/>
        </w:rPr>
        <w:t>2</w:t>
      </w:r>
      <w:r>
        <w:rPr>
          <w:rFonts w:hint="eastAsia" w:ascii="仿宋" w:hAnsi="仿宋" w:eastAsia="仿宋"/>
          <w:color w:val="auto"/>
          <w:sz w:val="24"/>
          <w:u w:val="none"/>
        </w:rPr>
        <w:t>《展台设计方案深度技术需求》。</w:t>
      </w:r>
    </w:p>
    <w:p>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（四）成本控制要求</w:t>
      </w:r>
    </w:p>
    <w:p>
      <w:pPr>
        <w:snapToGrid w:val="0"/>
        <w:spacing w:line="500" w:lineRule="exact"/>
        <w:ind w:firstLine="600" w:firstLineChars="250"/>
        <w:rPr>
          <w:rFonts w:ascii="仿宋" w:hAnsi="仿宋" w:eastAsia="仿宋"/>
          <w:color w:val="auto"/>
          <w:sz w:val="24"/>
          <w:u w:val="single"/>
        </w:rPr>
      </w:pPr>
      <w:r>
        <w:rPr>
          <w:rFonts w:hint="eastAsia" w:ascii="仿宋" w:hAnsi="仿宋" w:eastAsia="仿宋"/>
          <w:color w:val="auto"/>
          <w:sz w:val="24"/>
        </w:rPr>
        <w:t>供应商组织对展馆进行方案设计时，应充分考虑到后续场馆搭建实施以及布展、撤展等成本的支出。重庆主题展馆暂定搭建总费用为</w:t>
      </w:r>
      <w:r>
        <w:rPr>
          <w:rFonts w:hint="eastAsia" w:ascii="仿宋" w:hAnsi="仿宋" w:eastAsia="仿宋"/>
          <w:color w:val="auto"/>
          <w:sz w:val="24"/>
          <w:u w:val="none"/>
          <w:lang w:val="en-US" w:eastAsia="zh-CN"/>
        </w:rPr>
        <w:t>100</w:t>
      </w:r>
      <w:r>
        <w:rPr>
          <w:rFonts w:hint="eastAsia" w:ascii="仿宋" w:hAnsi="仿宋" w:eastAsia="仿宋"/>
          <w:color w:val="auto"/>
          <w:sz w:val="24"/>
        </w:rPr>
        <w:t>万元，序馆暂定搭建总费用为</w:t>
      </w:r>
      <w:r>
        <w:rPr>
          <w:rFonts w:hint="eastAsia" w:ascii="仿宋" w:hAnsi="仿宋" w:eastAsia="仿宋"/>
          <w:color w:val="auto"/>
          <w:sz w:val="24"/>
          <w:u w:val="none"/>
        </w:rPr>
        <w:t xml:space="preserve"> </w:t>
      </w:r>
      <w:r>
        <w:rPr>
          <w:rFonts w:hint="eastAsia" w:ascii="仿宋" w:hAnsi="仿宋" w:eastAsia="仿宋"/>
          <w:color w:val="auto"/>
          <w:sz w:val="24"/>
          <w:u w:val="none"/>
          <w:lang w:val="en-US" w:eastAsia="zh-CN"/>
        </w:rPr>
        <w:t>50</w:t>
      </w:r>
      <w:r>
        <w:rPr>
          <w:rFonts w:hint="eastAsia" w:ascii="仿宋" w:hAnsi="仿宋" w:eastAsia="仿宋"/>
          <w:color w:val="auto"/>
          <w:sz w:val="24"/>
          <w:u w:val="none"/>
        </w:rPr>
        <w:t xml:space="preserve"> </w:t>
      </w:r>
      <w:r>
        <w:rPr>
          <w:rFonts w:hint="eastAsia" w:ascii="仿宋" w:hAnsi="仿宋" w:eastAsia="仿宋"/>
          <w:color w:val="auto"/>
          <w:sz w:val="24"/>
        </w:rPr>
        <w:t>万元。</w:t>
      </w:r>
    </w:p>
    <w:p>
      <w:pPr>
        <w:keepNext/>
        <w:keepLines/>
        <w:snapToGrid w:val="0"/>
        <w:spacing w:line="500" w:lineRule="exact"/>
        <w:ind w:firstLine="482"/>
        <w:rPr>
          <w:rFonts w:ascii="仿宋" w:hAnsi="仿宋" w:eastAsia="仿宋"/>
          <w:b/>
          <w:color w:val="auto"/>
          <w:sz w:val="28"/>
        </w:rPr>
      </w:pPr>
      <w:r>
        <w:rPr>
          <w:rFonts w:ascii="仿宋" w:hAnsi="仿宋" w:eastAsia="仿宋"/>
          <w:b/>
          <w:color w:val="auto"/>
          <w:sz w:val="28"/>
        </w:rPr>
        <w:t>※</w:t>
      </w:r>
      <w:r>
        <w:rPr>
          <w:rFonts w:hint="eastAsia" w:ascii="仿宋" w:hAnsi="仿宋" w:eastAsia="仿宋"/>
          <w:b/>
          <w:color w:val="auto"/>
          <w:sz w:val="28"/>
        </w:rPr>
        <w:t>四、其他要求</w:t>
      </w:r>
    </w:p>
    <w:p>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1.供应商须在正式合同签订后至正式搭建实施验收完毕前，应随时按采购人提出的修改意见进行进行设计变更，直到采购人满意为止，设计变更不得向采购人收取任何费用。</w:t>
      </w:r>
    </w:p>
    <w:p>
      <w:pPr>
        <w:spacing w:line="500" w:lineRule="exact"/>
        <w:ind w:firstLine="480" w:firstLineChars="200"/>
        <w:rPr>
          <w:rFonts w:hint="default" w:ascii="仿宋" w:hAnsi="仿宋" w:eastAsia="仿宋"/>
          <w:color w:val="auto"/>
          <w:sz w:val="24"/>
          <w:lang w:val="en-US"/>
        </w:rPr>
      </w:pPr>
      <w:r>
        <w:rPr>
          <w:rFonts w:hint="eastAsia" w:ascii="仿宋" w:hAnsi="仿宋" w:eastAsia="仿宋"/>
          <w:color w:val="auto"/>
          <w:sz w:val="24"/>
        </w:rPr>
        <w:t>2、</w:t>
      </w:r>
      <w:r>
        <w:rPr>
          <w:rFonts w:ascii="仿宋" w:hAnsi="仿宋" w:eastAsia="仿宋"/>
          <w:color w:val="auto"/>
          <w:sz w:val="24"/>
        </w:rPr>
        <w:t>鉴于时间紧迫，</w:t>
      </w:r>
      <w:r>
        <w:rPr>
          <w:rFonts w:hint="eastAsia" w:ascii="仿宋" w:hAnsi="仿宋" w:eastAsia="仿宋"/>
          <w:color w:val="auto"/>
          <w:sz w:val="24"/>
        </w:rPr>
        <w:t>成交供应商</w:t>
      </w:r>
      <w:r>
        <w:rPr>
          <w:rFonts w:ascii="仿宋" w:hAnsi="仿宋" w:eastAsia="仿宋"/>
          <w:color w:val="auto"/>
          <w:sz w:val="24"/>
        </w:rPr>
        <w:t>应建立专班技术团队负责完成合同服务内容，应随时根据安排参与会议讨论，及时按照规定时间完成</w:t>
      </w:r>
      <w:r>
        <w:rPr>
          <w:rFonts w:hint="eastAsia" w:ascii="仿宋" w:hAnsi="仿宋" w:eastAsia="仿宋"/>
          <w:color w:val="auto"/>
          <w:sz w:val="24"/>
        </w:rPr>
        <w:t>全套策划设计工作</w:t>
      </w:r>
      <w:r>
        <w:rPr>
          <w:rFonts w:ascii="仿宋" w:hAnsi="仿宋" w:eastAsia="仿宋"/>
          <w:color w:val="auto"/>
          <w:sz w:val="24"/>
        </w:rPr>
        <w:t>及</w:t>
      </w:r>
      <w:r>
        <w:rPr>
          <w:rFonts w:hint="eastAsia" w:ascii="仿宋" w:hAnsi="仿宋" w:eastAsia="仿宋"/>
          <w:color w:val="auto"/>
          <w:sz w:val="24"/>
        </w:rPr>
        <w:t>设计变更</w:t>
      </w:r>
      <w:r>
        <w:rPr>
          <w:rFonts w:ascii="仿宋" w:hAnsi="仿宋" w:eastAsia="仿宋"/>
          <w:color w:val="auto"/>
          <w:sz w:val="24"/>
        </w:rPr>
        <w:t>工作等任务</w:t>
      </w:r>
      <w:r>
        <w:rPr>
          <w:rFonts w:hint="eastAsia" w:ascii="仿宋" w:hAnsi="仿宋" w:eastAsia="仿宋"/>
          <w:color w:val="auto"/>
          <w:sz w:val="24"/>
          <w:lang w:eastAsia="zh-CN"/>
        </w:rPr>
        <w:t>。</w:t>
      </w:r>
      <w:r>
        <w:rPr>
          <w:rFonts w:hint="eastAsia" w:ascii="仿宋" w:hAnsi="仿宋" w:eastAsia="仿宋"/>
          <w:color w:val="auto"/>
          <w:sz w:val="24"/>
          <w:lang w:val="en-US" w:eastAsia="zh-CN"/>
        </w:rPr>
        <w:t>供应商须具备连续加班的工作状态和毅力，同时要</w:t>
      </w:r>
      <w:r>
        <w:rPr>
          <w:rFonts w:ascii="仿宋" w:hAnsi="仿宋" w:eastAsia="仿宋"/>
          <w:color w:val="auto"/>
          <w:sz w:val="24"/>
        </w:rPr>
        <w:t>提供相应配套资源和工作条件予以保障</w:t>
      </w:r>
      <w:r>
        <w:rPr>
          <w:rFonts w:hint="eastAsia" w:ascii="仿宋" w:hAnsi="仿宋" w:eastAsia="仿宋"/>
          <w:color w:val="auto"/>
          <w:sz w:val="24"/>
          <w:lang w:eastAsia="zh-CN"/>
        </w:rPr>
        <w:t>。</w:t>
      </w:r>
      <w:r>
        <w:rPr>
          <w:rFonts w:hint="eastAsia" w:ascii="仿宋" w:hAnsi="仿宋" w:eastAsia="仿宋"/>
          <w:color w:val="auto"/>
          <w:sz w:val="24"/>
          <w:lang w:val="en-US" w:eastAsia="zh-CN"/>
        </w:rPr>
        <w:t>如采购人有紧急技术需求时，供应商须安排不低于2名专职设计人员在采购人指定办公地点驻场办公并服从采购人工作安排。</w:t>
      </w:r>
    </w:p>
    <w:p>
      <w:pPr>
        <w:keepNext/>
        <w:keepLines/>
        <w:snapToGrid w:val="0"/>
        <w:spacing w:line="500" w:lineRule="exact"/>
        <w:ind w:firstLine="562" w:firstLineChars="200"/>
        <w:rPr>
          <w:rFonts w:ascii="仿宋" w:hAnsi="仿宋" w:eastAsia="仿宋"/>
          <w:b/>
          <w:color w:val="auto"/>
          <w:sz w:val="28"/>
        </w:rPr>
      </w:pPr>
      <w:r>
        <w:rPr>
          <w:rFonts w:hint="eastAsia" w:ascii="仿宋" w:hAnsi="仿宋" w:eastAsia="仿宋"/>
          <w:b/>
          <w:color w:val="auto"/>
          <w:sz w:val="28"/>
        </w:rPr>
        <w:t>五、现场踏勘</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（一）踏勘地址：重庆国际会议展览中心（江南大道2号）</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（二）踏勘联系人：李想</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（三）联系电话：13883633433</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注：采购人不统一组织踏勘，请各潜在供应商自行前往踏勘现场，无论供应商踏勘与否，采购人均视供应商对现场环境已了解并知晓相关风险。踏勘费用、安全等由供应商自行负责。</w:t>
      </w:r>
    </w:p>
    <w:p>
      <w:pPr>
        <w:snapToGrid w:val="0"/>
        <w:spacing w:line="500" w:lineRule="exact"/>
        <w:ind w:firstLine="562"/>
        <w:rPr>
          <w:rFonts w:ascii="仿宋" w:hAnsi="仿宋" w:eastAsia="仿宋"/>
          <w:b/>
          <w:color w:val="auto"/>
          <w:sz w:val="28"/>
        </w:rPr>
      </w:pPr>
      <w:r>
        <w:rPr>
          <w:rFonts w:ascii="仿宋" w:hAnsi="仿宋" w:eastAsia="仿宋"/>
          <w:b/>
          <w:color w:val="auto"/>
          <w:sz w:val="28"/>
        </w:rPr>
        <w:t>※</w:t>
      </w:r>
      <w:r>
        <w:rPr>
          <w:rFonts w:hint="eastAsia" w:ascii="仿宋" w:hAnsi="仿宋" w:eastAsia="仿宋"/>
          <w:b/>
          <w:color w:val="auto"/>
          <w:sz w:val="28"/>
        </w:rPr>
        <w:t>六、现场演示要求</w:t>
      </w:r>
    </w:p>
    <w:p>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1.各供应商须按照以上要求对重庆主题展馆及序馆分别提供不低于2套不同风格的设计方案，并制作成PPT供现场演示。</w:t>
      </w:r>
    </w:p>
    <w:p>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2.供应商应自行准备演示所需设备进行现场述标，述标时间不超过20分钟。</w:t>
      </w:r>
    </w:p>
    <w:p>
      <w:pPr>
        <w:snapToGrid w:val="0"/>
        <w:spacing w:line="500" w:lineRule="exact"/>
        <w:ind w:firstLine="480"/>
        <w:rPr>
          <w:color w:val="auto"/>
        </w:rPr>
        <w:sectPr>
          <w:footerReference r:id="rId6" w:type="default"/>
          <w:pgSz w:w="11907" w:h="16840"/>
          <w:pgMar w:top="1134" w:right="1191" w:bottom="1134" w:left="1304" w:header="964" w:footer="992" w:gutter="0"/>
          <w:cols w:space="720" w:num="1"/>
          <w:docGrid w:linePitch="312" w:charSpace="0"/>
        </w:sectPr>
      </w:pPr>
    </w:p>
    <w:p>
      <w:pPr>
        <w:keepNext/>
        <w:keepLines/>
        <w:snapToGrid w:val="0"/>
        <w:spacing w:line="360" w:lineRule="auto"/>
        <w:jc w:val="center"/>
        <w:outlineLvl w:val="0"/>
        <w:rPr>
          <w:rFonts w:ascii="方正小标宋_GBK" w:eastAsia="方正小标宋_GBK"/>
          <w:color w:val="auto"/>
          <w:sz w:val="36"/>
        </w:rPr>
      </w:pPr>
      <w:bookmarkStart w:id="11" w:name="_Toc29626"/>
      <w:bookmarkStart w:id="12" w:name="_Toc25961"/>
      <w:r>
        <w:rPr>
          <w:rFonts w:hint="eastAsia" w:ascii="方正小标宋_GBK" w:eastAsia="方正小标宋_GBK"/>
          <w:color w:val="auto"/>
          <w:sz w:val="36"/>
        </w:rPr>
        <w:t>第三篇  项目商务需求</w:t>
      </w:r>
      <w:bookmarkEnd w:id="11"/>
      <w:bookmarkEnd w:id="12"/>
    </w:p>
    <w:p>
      <w:pPr>
        <w:snapToGrid w:val="0"/>
        <w:spacing w:line="500" w:lineRule="exact"/>
        <w:ind w:firstLine="422"/>
        <w:rPr>
          <w:rFonts w:ascii="仿宋" w:hAnsi="仿宋" w:eastAsia="仿宋"/>
          <w:b/>
          <w:color w:val="auto"/>
          <w:sz w:val="24"/>
        </w:rPr>
      </w:pPr>
      <w:r>
        <w:rPr>
          <w:rFonts w:hint="eastAsia" w:ascii="仿宋" w:hAnsi="仿宋" w:eastAsia="仿宋"/>
          <w:b/>
          <w:color w:val="auto"/>
          <w:sz w:val="24"/>
        </w:rPr>
        <w:t>“※”标注的要求为符合性审查中的实质性要求，响应文件若不满足按无效响应处理。</w:t>
      </w:r>
    </w:p>
    <w:p>
      <w:pPr>
        <w:keepNext/>
        <w:keepLines/>
        <w:snapToGrid w:val="0"/>
        <w:spacing w:line="500" w:lineRule="exact"/>
        <w:ind w:firstLine="482"/>
        <w:rPr>
          <w:rFonts w:ascii="仿宋" w:hAnsi="仿宋" w:eastAsia="仿宋"/>
          <w:b/>
          <w:color w:val="auto"/>
          <w:sz w:val="28"/>
        </w:rPr>
      </w:pPr>
      <w:r>
        <w:rPr>
          <w:rFonts w:ascii="仿宋" w:hAnsi="仿宋" w:eastAsia="仿宋"/>
          <w:b/>
          <w:color w:val="auto"/>
          <w:sz w:val="28"/>
        </w:rPr>
        <w:t>※一、</w:t>
      </w:r>
      <w:r>
        <w:rPr>
          <w:rFonts w:hint="eastAsia" w:ascii="仿宋" w:hAnsi="仿宋" w:eastAsia="仿宋"/>
          <w:b/>
          <w:color w:val="auto"/>
          <w:sz w:val="28"/>
        </w:rPr>
        <w:t>服务</w:t>
      </w:r>
      <w:r>
        <w:rPr>
          <w:rFonts w:ascii="仿宋" w:hAnsi="仿宋" w:eastAsia="仿宋"/>
          <w:b/>
          <w:color w:val="auto"/>
          <w:sz w:val="28"/>
        </w:rPr>
        <w:t>时间、地点及验收方式</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（一）</w:t>
      </w:r>
      <w:r>
        <w:rPr>
          <w:rFonts w:ascii="仿宋" w:hAnsi="仿宋" w:eastAsia="仿宋"/>
          <w:color w:val="auto"/>
          <w:sz w:val="24"/>
        </w:rPr>
        <w:t>服务</w:t>
      </w:r>
      <w:r>
        <w:rPr>
          <w:rFonts w:hint="eastAsia" w:ascii="仿宋" w:hAnsi="仿宋" w:eastAsia="仿宋"/>
          <w:color w:val="auto"/>
          <w:sz w:val="24"/>
        </w:rPr>
        <w:t>时间</w:t>
      </w:r>
      <w:r>
        <w:rPr>
          <w:rFonts w:ascii="仿宋" w:hAnsi="仿宋" w:eastAsia="仿宋"/>
          <w:color w:val="auto"/>
          <w:sz w:val="24"/>
        </w:rPr>
        <w:t>:</w:t>
      </w:r>
      <w:r>
        <w:rPr>
          <w:rFonts w:hint="eastAsia" w:ascii="仿宋" w:hAnsi="仿宋" w:eastAsia="仿宋"/>
          <w:color w:val="auto"/>
          <w:sz w:val="24"/>
        </w:rPr>
        <w:t xml:space="preserve"> 合同签订后至展会撤展结束</w:t>
      </w:r>
      <w:r>
        <w:rPr>
          <w:rFonts w:ascii="仿宋" w:hAnsi="仿宋" w:eastAsia="仿宋"/>
          <w:color w:val="auto"/>
          <w:sz w:val="24"/>
        </w:rPr>
        <w:t>。</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（二）展会地点：重庆国际会议展览中心（江南大道2号）。</w:t>
      </w:r>
    </w:p>
    <w:p>
      <w:pPr>
        <w:snapToGrid w:val="0"/>
        <w:spacing w:line="500" w:lineRule="exact"/>
        <w:ind w:firstLine="480"/>
        <w:rPr>
          <w:rFonts w:ascii="仿宋" w:hAnsi="仿宋" w:eastAsia="仿宋"/>
          <w:color w:val="auto"/>
          <w:sz w:val="24"/>
        </w:rPr>
      </w:pPr>
      <w:r>
        <w:rPr>
          <w:rFonts w:ascii="仿宋" w:hAnsi="仿宋" w:eastAsia="仿宋"/>
          <w:color w:val="auto"/>
          <w:sz w:val="24"/>
        </w:rPr>
        <w:t>（三）验收方式</w:t>
      </w:r>
    </w:p>
    <w:p>
      <w:pPr>
        <w:snapToGrid w:val="0"/>
        <w:spacing w:line="500" w:lineRule="exact"/>
        <w:ind w:firstLine="480" w:firstLineChars="200"/>
        <w:rPr>
          <w:rFonts w:ascii="仿宋" w:hAnsi="仿宋" w:eastAsia="仿宋"/>
          <w:color w:val="auto"/>
          <w:sz w:val="24"/>
        </w:rPr>
      </w:pPr>
      <w:r>
        <w:rPr>
          <w:rFonts w:ascii="仿宋" w:hAnsi="仿宋" w:eastAsia="仿宋"/>
          <w:color w:val="auto"/>
          <w:sz w:val="24"/>
        </w:rPr>
        <w:t>1.验收组织单位：</w:t>
      </w:r>
      <w:r>
        <w:rPr>
          <w:rFonts w:hint="eastAsia" w:ascii="仿宋" w:hAnsi="仿宋" w:eastAsia="仿宋"/>
          <w:color w:val="auto"/>
          <w:sz w:val="24"/>
        </w:rPr>
        <w:t>重庆市住房和城乡建设技术发展中心（重庆市建筑节能中心）</w:t>
      </w:r>
      <w:r>
        <w:rPr>
          <w:rFonts w:ascii="仿宋" w:hAnsi="仿宋" w:eastAsia="仿宋"/>
          <w:color w:val="auto"/>
          <w:sz w:val="24"/>
        </w:rPr>
        <w:t>。</w:t>
      </w:r>
    </w:p>
    <w:p>
      <w:pPr>
        <w:snapToGrid w:val="0"/>
        <w:spacing w:line="500" w:lineRule="exact"/>
        <w:ind w:firstLine="480" w:firstLineChars="200"/>
        <w:rPr>
          <w:rFonts w:ascii="仿宋" w:hAnsi="仿宋" w:eastAsia="仿宋"/>
          <w:color w:val="auto"/>
          <w:sz w:val="24"/>
        </w:rPr>
      </w:pPr>
      <w:r>
        <w:rPr>
          <w:rFonts w:ascii="仿宋" w:hAnsi="仿宋" w:eastAsia="仿宋"/>
          <w:color w:val="auto"/>
          <w:sz w:val="24"/>
        </w:rPr>
        <w:t>2.验收标准：</w:t>
      </w:r>
      <w:r>
        <w:rPr>
          <w:rFonts w:hint="eastAsia" w:ascii="仿宋" w:hAnsi="仿宋" w:eastAsia="仿宋" w:cs="Times New Roman"/>
          <w:color w:val="auto"/>
          <w:kern w:val="2"/>
          <w:sz w:val="24"/>
          <w:szCs w:val="24"/>
        </w:rPr>
        <w:t>本项目实施完成，由采购人组织验收，采购人与成交供应商共同签字确认。</w:t>
      </w:r>
    </w:p>
    <w:p>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3.成交供应商需积极配合做好项目审计工作。</w:t>
      </w:r>
    </w:p>
    <w:p>
      <w:pPr>
        <w:keepNext/>
        <w:keepLines/>
        <w:snapToGrid w:val="0"/>
        <w:spacing w:line="500" w:lineRule="exact"/>
        <w:ind w:firstLine="482"/>
        <w:rPr>
          <w:rFonts w:ascii="仿宋" w:hAnsi="仿宋" w:eastAsia="仿宋"/>
          <w:b/>
          <w:color w:val="auto"/>
          <w:sz w:val="28"/>
        </w:rPr>
      </w:pPr>
      <w:r>
        <w:rPr>
          <w:rFonts w:ascii="仿宋" w:hAnsi="仿宋" w:eastAsia="仿宋"/>
          <w:b/>
          <w:color w:val="auto"/>
          <w:sz w:val="28"/>
        </w:rPr>
        <w:t>※二、报价要求</w:t>
      </w:r>
    </w:p>
    <w:p>
      <w:pPr>
        <w:snapToGrid w:val="0"/>
        <w:spacing w:line="500" w:lineRule="exact"/>
        <w:ind w:firstLine="720" w:firstLineChars="300"/>
        <w:rPr>
          <w:rFonts w:ascii="仿宋" w:hAnsi="仿宋" w:eastAsia="仿宋"/>
          <w:color w:val="auto"/>
          <w:sz w:val="24"/>
        </w:rPr>
      </w:pPr>
      <w:r>
        <w:rPr>
          <w:rFonts w:hint="eastAsia" w:ascii="仿宋" w:hAnsi="仿宋" w:eastAsia="仿宋"/>
          <w:color w:val="auto"/>
          <w:sz w:val="24"/>
        </w:rPr>
        <w:t>磋商</w:t>
      </w:r>
      <w:r>
        <w:rPr>
          <w:rFonts w:ascii="仿宋" w:hAnsi="仿宋" w:eastAsia="仿宋"/>
          <w:color w:val="auto"/>
          <w:sz w:val="24"/>
        </w:rPr>
        <w:t>报价应包括完成项目的全部费用，包括但不限于如下内容：创意策划费</w:t>
      </w:r>
      <w:r>
        <w:rPr>
          <w:rFonts w:hint="eastAsia" w:ascii="仿宋" w:hAnsi="仿宋" w:eastAsia="仿宋"/>
          <w:color w:val="auto"/>
          <w:sz w:val="24"/>
        </w:rPr>
        <w:t>、</w:t>
      </w:r>
      <w:r>
        <w:rPr>
          <w:rFonts w:ascii="仿宋" w:hAnsi="仿宋" w:eastAsia="仿宋"/>
          <w:color w:val="auto"/>
          <w:sz w:val="24"/>
        </w:rPr>
        <w:t>初步及详细方案设计费、</w:t>
      </w:r>
      <w:r>
        <w:rPr>
          <w:rFonts w:hint="eastAsia" w:ascii="仿宋" w:hAnsi="仿宋" w:eastAsia="仿宋"/>
          <w:color w:val="auto"/>
          <w:sz w:val="24"/>
        </w:rPr>
        <w:t>组织协调费、执行</w:t>
      </w:r>
      <w:r>
        <w:rPr>
          <w:rFonts w:ascii="仿宋" w:hAnsi="仿宋" w:eastAsia="仿宋"/>
          <w:color w:val="auto"/>
          <w:sz w:val="24"/>
        </w:rPr>
        <w:t>费、验收专家费</w:t>
      </w:r>
      <w:r>
        <w:rPr>
          <w:rFonts w:hint="eastAsia" w:ascii="仿宋" w:hAnsi="仿宋" w:eastAsia="仿宋"/>
          <w:color w:val="auto"/>
          <w:sz w:val="24"/>
        </w:rPr>
        <w:t>、</w:t>
      </w:r>
      <w:r>
        <w:rPr>
          <w:rFonts w:ascii="仿宋" w:hAnsi="仿宋" w:eastAsia="仿宋"/>
          <w:color w:val="auto"/>
          <w:sz w:val="24"/>
        </w:rPr>
        <w:t>人工费、资料费</w:t>
      </w:r>
      <w:r>
        <w:rPr>
          <w:rFonts w:hint="eastAsia" w:ascii="仿宋" w:hAnsi="仿宋" w:eastAsia="仿宋"/>
          <w:color w:val="auto"/>
          <w:sz w:val="24"/>
        </w:rPr>
        <w:t>、</w:t>
      </w:r>
      <w:r>
        <w:rPr>
          <w:rFonts w:ascii="仿宋" w:hAnsi="仿宋" w:eastAsia="仿宋"/>
          <w:color w:val="auto"/>
          <w:sz w:val="24"/>
        </w:rPr>
        <w:t>交通费、保险、税费等一切费用。采购人除此以外不支付其它费用。</w:t>
      </w:r>
    </w:p>
    <w:p>
      <w:pPr>
        <w:snapToGrid w:val="0"/>
        <w:spacing w:line="500" w:lineRule="exact"/>
        <w:ind w:firstLine="480"/>
        <w:rPr>
          <w:rFonts w:ascii="仿宋" w:hAnsi="仿宋" w:eastAsia="仿宋"/>
          <w:color w:val="auto"/>
          <w:sz w:val="24"/>
        </w:rPr>
      </w:pPr>
      <w:r>
        <w:rPr>
          <w:rFonts w:ascii="仿宋" w:hAnsi="仿宋" w:eastAsia="仿宋"/>
          <w:color w:val="auto"/>
          <w:sz w:val="24"/>
        </w:rPr>
        <w:t>因成交供应商自身原因造成漏报、少报皆由其自行承担责任，采购人不再补偿。</w:t>
      </w:r>
    </w:p>
    <w:p>
      <w:pPr>
        <w:keepNext/>
        <w:keepLines/>
        <w:snapToGrid w:val="0"/>
        <w:spacing w:line="500" w:lineRule="exact"/>
        <w:ind w:firstLine="482"/>
        <w:rPr>
          <w:rFonts w:ascii="仿宋" w:hAnsi="仿宋" w:eastAsia="仿宋"/>
          <w:b/>
          <w:color w:val="auto"/>
          <w:sz w:val="28"/>
        </w:rPr>
      </w:pPr>
      <w:r>
        <w:rPr>
          <w:rFonts w:hint="eastAsia" w:ascii="仿宋" w:hAnsi="仿宋" w:eastAsia="仿宋"/>
          <w:b/>
          <w:color w:val="auto"/>
          <w:sz w:val="28"/>
        </w:rPr>
        <w:t>三、结算原则</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本项目为固定总价合同模式，结算总价=签约合同价（成交价），</w:t>
      </w:r>
      <w:r>
        <w:rPr>
          <w:rFonts w:ascii="仿宋" w:hAnsi="仿宋" w:eastAsia="仿宋"/>
          <w:color w:val="auto"/>
          <w:sz w:val="24"/>
        </w:rPr>
        <w:t>因成交供应商自身原因造成漏报、少报皆由其自行承担责任，采购人不再补偿</w:t>
      </w:r>
      <w:r>
        <w:rPr>
          <w:rFonts w:hint="eastAsia" w:ascii="仿宋" w:hAnsi="仿宋" w:eastAsia="仿宋"/>
          <w:color w:val="auto"/>
          <w:sz w:val="24"/>
        </w:rPr>
        <w:t>任何费用</w:t>
      </w:r>
      <w:r>
        <w:rPr>
          <w:rFonts w:ascii="仿宋" w:hAnsi="仿宋" w:eastAsia="仿宋"/>
          <w:color w:val="auto"/>
          <w:sz w:val="24"/>
        </w:rPr>
        <w:t>。</w:t>
      </w:r>
    </w:p>
    <w:p>
      <w:pPr>
        <w:keepNext/>
        <w:keepLines/>
        <w:snapToGrid w:val="0"/>
        <w:spacing w:line="500" w:lineRule="exact"/>
        <w:ind w:firstLine="482"/>
        <w:rPr>
          <w:rFonts w:ascii="仿宋" w:hAnsi="仿宋" w:eastAsia="仿宋"/>
          <w:b/>
          <w:color w:val="auto"/>
          <w:sz w:val="28"/>
        </w:rPr>
      </w:pPr>
      <w:r>
        <w:rPr>
          <w:rFonts w:ascii="仿宋" w:hAnsi="仿宋" w:eastAsia="仿宋"/>
          <w:b/>
          <w:color w:val="auto"/>
          <w:sz w:val="28"/>
        </w:rPr>
        <w:t>※</w:t>
      </w:r>
      <w:r>
        <w:rPr>
          <w:rFonts w:hint="eastAsia" w:ascii="仿宋" w:hAnsi="仿宋" w:eastAsia="仿宋"/>
          <w:b/>
          <w:color w:val="auto"/>
          <w:sz w:val="28"/>
        </w:rPr>
        <w:t>四</w:t>
      </w:r>
      <w:r>
        <w:rPr>
          <w:rFonts w:ascii="仿宋" w:hAnsi="仿宋" w:eastAsia="仿宋"/>
          <w:b/>
          <w:color w:val="auto"/>
          <w:sz w:val="28"/>
        </w:rPr>
        <w:t>、付款方式</w:t>
      </w:r>
    </w:p>
    <w:p>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（一）成交供应商提供整体设计方案并经采购人审核通过后，成交供应商向采购人提供合同总额</w:t>
      </w:r>
      <w:r>
        <w:rPr>
          <w:rFonts w:hint="eastAsia" w:ascii="仿宋" w:hAnsi="仿宋" w:eastAsia="仿宋"/>
          <w:color w:val="auto"/>
          <w:sz w:val="24"/>
          <w:lang w:val="en-US" w:eastAsia="zh-CN"/>
        </w:rPr>
        <w:t>5</w:t>
      </w:r>
      <w:r>
        <w:rPr>
          <w:rFonts w:hint="eastAsia" w:ascii="仿宋" w:hAnsi="仿宋" w:eastAsia="仿宋"/>
          <w:color w:val="auto"/>
          <w:sz w:val="24"/>
        </w:rPr>
        <w:t>0％的增值税发票；采购人按资金审批流程于15个工作日内支付合同总额的</w:t>
      </w:r>
      <w:r>
        <w:rPr>
          <w:rFonts w:hint="eastAsia" w:ascii="仿宋" w:hAnsi="仿宋" w:eastAsia="仿宋"/>
          <w:color w:val="auto"/>
          <w:sz w:val="24"/>
          <w:lang w:val="en-US" w:eastAsia="zh-CN"/>
        </w:rPr>
        <w:t>5</w:t>
      </w:r>
      <w:r>
        <w:rPr>
          <w:rFonts w:hint="eastAsia" w:ascii="仿宋" w:hAnsi="仿宋" w:eastAsia="仿宋"/>
          <w:color w:val="auto"/>
          <w:sz w:val="24"/>
        </w:rPr>
        <w:t>0％。</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二）成交供应商按采购合同完成所有工作内容、提交项目成果资料（包括但不限于文字资料、图片资料、影像资料、图纸等）且展会结束后，成交供应商根据合同金额提供剩余应付金额足额增值税发票；采购人按资金审批流程于15个工作日内支付剩余合同总额的</w:t>
      </w:r>
      <w:r>
        <w:rPr>
          <w:rFonts w:hint="eastAsia" w:ascii="仿宋" w:hAnsi="仿宋" w:eastAsia="仿宋"/>
          <w:color w:val="auto"/>
          <w:sz w:val="24"/>
          <w:lang w:val="en-US" w:eastAsia="zh-CN"/>
        </w:rPr>
        <w:t>50</w:t>
      </w:r>
      <w:r>
        <w:rPr>
          <w:rFonts w:hint="eastAsia" w:ascii="仿宋" w:hAnsi="仿宋" w:eastAsia="仿宋"/>
          <w:color w:val="auto"/>
          <w:sz w:val="24"/>
        </w:rPr>
        <w:t>%。</w:t>
      </w:r>
    </w:p>
    <w:p>
      <w:pPr>
        <w:keepNext/>
        <w:keepLines/>
        <w:snapToGrid w:val="0"/>
        <w:spacing w:line="500" w:lineRule="exact"/>
        <w:ind w:firstLine="482"/>
        <w:rPr>
          <w:rFonts w:ascii="仿宋" w:hAnsi="仿宋" w:eastAsia="仿宋"/>
          <w:b/>
          <w:color w:val="auto"/>
          <w:sz w:val="28"/>
        </w:rPr>
      </w:pPr>
      <w:r>
        <w:rPr>
          <w:rFonts w:hint="eastAsia" w:ascii="仿宋" w:hAnsi="仿宋" w:eastAsia="仿宋"/>
          <w:b/>
          <w:color w:val="auto"/>
          <w:sz w:val="28"/>
        </w:rPr>
        <w:t>※五、保密要求</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成交供应商在本项目执行过程中应对所获悉的所有项目内容进行保密，未经采购人允许不得随意公布、不得转交给第三方。若有违反按保密协议规定进行处理，情节严重的，采购人将有权追究其相关法律责任。</w:t>
      </w:r>
    </w:p>
    <w:p>
      <w:pPr>
        <w:keepNext/>
        <w:keepLines/>
        <w:snapToGrid w:val="0"/>
        <w:spacing w:line="500" w:lineRule="exact"/>
        <w:ind w:firstLine="482"/>
        <w:rPr>
          <w:rFonts w:ascii="仿宋" w:hAnsi="仿宋" w:eastAsia="仿宋"/>
          <w:b/>
          <w:color w:val="auto"/>
          <w:sz w:val="28"/>
        </w:rPr>
      </w:pPr>
      <w:r>
        <w:rPr>
          <w:rFonts w:ascii="仿宋" w:hAnsi="仿宋" w:eastAsia="仿宋"/>
          <w:b/>
          <w:color w:val="auto"/>
          <w:sz w:val="28"/>
        </w:rPr>
        <w:t>※</w:t>
      </w:r>
      <w:r>
        <w:rPr>
          <w:rFonts w:hint="eastAsia" w:ascii="仿宋" w:hAnsi="仿宋" w:eastAsia="仿宋"/>
          <w:b/>
          <w:color w:val="auto"/>
          <w:sz w:val="28"/>
        </w:rPr>
        <w:t>六、不可抗力</w:t>
      </w:r>
    </w:p>
    <w:p>
      <w:pPr>
        <w:snapToGrid w:val="0"/>
        <w:spacing w:line="500" w:lineRule="exact"/>
        <w:ind w:firstLine="480"/>
        <w:jc w:val="left"/>
        <w:rPr>
          <w:rFonts w:ascii="仿宋" w:hAnsi="仿宋" w:eastAsia="仿宋"/>
          <w:color w:val="auto"/>
          <w:sz w:val="24"/>
        </w:rPr>
      </w:pPr>
      <w:r>
        <w:rPr>
          <w:rFonts w:ascii="仿宋" w:hAnsi="仿宋" w:eastAsia="仿宋"/>
          <w:color w:val="auto"/>
          <w:sz w:val="24"/>
        </w:rPr>
        <w:t>因</w:t>
      </w:r>
      <w:r>
        <w:rPr>
          <w:rFonts w:hint="eastAsia" w:ascii="仿宋" w:hAnsi="仿宋" w:eastAsia="仿宋"/>
          <w:color w:val="auto"/>
          <w:sz w:val="24"/>
        </w:rPr>
        <w:t>新冠肺炎</w:t>
      </w:r>
      <w:r>
        <w:rPr>
          <w:rFonts w:ascii="仿宋" w:hAnsi="仿宋" w:eastAsia="仿宋"/>
          <w:color w:val="auto"/>
          <w:sz w:val="24"/>
        </w:rPr>
        <w:t>疫情、相关政策调整</w:t>
      </w:r>
      <w:r>
        <w:rPr>
          <w:rFonts w:hint="eastAsia" w:ascii="仿宋" w:hAnsi="仿宋" w:eastAsia="仿宋"/>
          <w:color w:val="auto"/>
          <w:sz w:val="24"/>
        </w:rPr>
        <w:t>、组委会展览计划调整</w:t>
      </w:r>
      <w:r>
        <w:rPr>
          <w:rFonts w:ascii="仿宋" w:hAnsi="仿宋" w:eastAsia="仿宋"/>
          <w:color w:val="auto"/>
          <w:sz w:val="24"/>
        </w:rPr>
        <w:t>等不可抗力原因致使招标项目取消</w:t>
      </w:r>
      <w:r>
        <w:rPr>
          <w:rFonts w:hint="eastAsia" w:ascii="仿宋" w:hAnsi="仿宋" w:eastAsia="仿宋"/>
          <w:color w:val="auto"/>
          <w:sz w:val="24"/>
        </w:rPr>
        <w:t>的</w:t>
      </w:r>
      <w:r>
        <w:rPr>
          <w:rFonts w:ascii="仿宋" w:hAnsi="仿宋" w:eastAsia="仿宋"/>
          <w:color w:val="auto"/>
          <w:sz w:val="24"/>
        </w:rPr>
        <w:t>，或因</w:t>
      </w:r>
      <w:r>
        <w:rPr>
          <w:rFonts w:hint="eastAsia" w:ascii="仿宋" w:hAnsi="仿宋" w:eastAsia="仿宋"/>
          <w:color w:val="auto"/>
          <w:sz w:val="24"/>
        </w:rPr>
        <w:t>客观</w:t>
      </w:r>
      <w:r>
        <w:rPr>
          <w:rFonts w:ascii="仿宋" w:hAnsi="仿宋" w:eastAsia="仿宋"/>
          <w:color w:val="auto"/>
          <w:sz w:val="24"/>
        </w:rPr>
        <w:t>原因致使合同无法订立或订立后因无法履行而解除的，采购人不承担任何责任</w:t>
      </w:r>
      <w:r>
        <w:rPr>
          <w:rFonts w:ascii="仿宋" w:hAnsi="仿宋" w:eastAsia="仿宋"/>
          <w:b/>
          <w:color w:val="auto"/>
          <w:sz w:val="24"/>
        </w:rPr>
        <w:t>（</w:t>
      </w:r>
      <w:r>
        <w:rPr>
          <w:rFonts w:hint="eastAsia" w:ascii="仿宋" w:hAnsi="仿宋" w:eastAsia="仿宋"/>
          <w:b/>
          <w:color w:val="auto"/>
          <w:sz w:val="24"/>
        </w:rPr>
        <w:t>响应文件中</w:t>
      </w:r>
      <w:r>
        <w:rPr>
          <w:rFonts w:ascii="仿宋" w:hAnsi="仿宋" w:eastAsia="仿宋"/>
          <w:b/>
          <w:color w:val="auto"/>
          <w:sz w:val="24"/>
        </w:rPr>
        <w:t>提供承诺函</w:t>
      </w:r>
      <w:r>
        <w:rPr>
          <w:rFonts w:hint="eastAsia" w:ascii="仿宋" w:hAnsi="仿宋" w:eastAsia="仿宋"/>
          <w:b/>
          <w:color w:val="auto"/>
          <w:sz w:val="24"/>
        </w:rPr>
        <w:t>原件</w:t>
      </w:r>
      <w:r>
        <w:rPr>
          <w:rFonts w:ascii="仿宋" w:hAnsi="仿宋" w:eastAsia="仿宋"/>
          <w:b/>
          <w:color w:val="auto"/>
          <w:sz w:val="24"/>
        </w:rPr>
        <w:t>）</w:t>
      </w:r>
      <w:r>
        <w:rPr>
          <w:rFonts w:ascii="仿宋" w:hAnsi="仿宋" w:eastAsia="仿宋"/>
          <w:color w:val="auto"/>
          <w:sz w:val="24"/>
        </w:rPr>
        <w:t>。</w:t>
      </w:r>
    </w:p>
    <w:p>
      <w:pPr>
        <w:keepNext/>
        <w:keepLines/>
        <w:snapToGrid w:val="0"/>
        <w:spacing w:line="500" w:lineRule="exact"/>
        <w:ind w:firstLine="482"/>
        <w:rPr>
          <w:rFonts w:ascii="仿宋" w:hAnsi="仿宋" w:eastAsia="仿宋"/>
          <w:b/>
          <w:color w:val="auto"/>
          <w:sz w:val="28"/>
        </w:rPr>
      </w:pPr>
      <w:r>
        <w:rPr>
          <w:rFonts w:ascii="仿宋" w:hAnsi="仿宋" w:eastAsia="仿宋"/>
          <w:b/>
          <w:color w:val="auto"/>
          <w:sz w:val="28"/>
        </w:rPr>
        <w:t>※</w:t>
      </w:r>
      <w:r>
        <w:rPr>
          <w:rFonts w:hint="eastAsia" w:ascii="仿宋" w:hAnsi="仿宋" w:eastAsia="仿宋"/>
          <w:b/>
          <w:color w:val="auto"/>
          <w:sz w:val="28"/>
        </w:rPr>
        <w:t>七、知识产权</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（一）采购人在中华人民共和国境内使用成交供应商提供的服务时免受第三方提出的侵犯其专利权或其它知识产权的起诉。如果第三方提出侵权指控，成交供应商应承担由此而引起的一切法律责任和费用。</w:t>
      </w:r>
    </w:p>
    <w:p>
      <w:pPr>
        <w:snapToGrid w:val="0"/>
        <w:spacing w:line="500" w:lineRule="exact"/>
        <w:ind w:firstLine="482"/>
        <w:rPr>
          <w:rFonts w:ascii="仿宋" w:hAnsi="仿宋" w:eastAsia="仿宋"/>
          <w:color w:val="auto"/>
          <w:sz w:val="24"/>
        </w:rPr>
      </w:pPr>
      <w:r>
        <w:rPr>
          <w:rFonts w:hint="eastAsia" w:ascii="仿宋" w:hAnsi="仿宋" w:eastAsia="仿宋"/>
          <w:color w:val="auto"/>
          <w:sz w:val="24"/>
        </w:rPr>
        <w:t>（二）本项目入围候选供应商所有设计方案成果归采购人所有，采购人有权使用或借鉴其部分设计方案成果，供应商除设计补偿费外不得向采购人收取任何费用。</w:t>
      </w:r>
    </w:p>
    <w:p>
      <w:pPr>
        <w:keepNext/>
        <w:keepLines/>
        <w:snapToGrid w:val="0"/>
        <w:spacing w:line="500" w:lineRule="exact"/>
        <w:ind w:firstLine="959" w:firstLineChars="341"/>
        <w:rPr>
          <w:rFonts w:ascii="仿宋" w:hAnsi="仿宋" w:eastAsia="仿宋"/>
          <w:b/>
          <w:color w:val="auto"/>
          <w:sz w:val="28"/>
        </w:rPr>
      </w:pPr>
      <w:r>
        <w:rPr>
          <w:rFonts w:hint="eastAsia" w:ascii="仿宋" w:hAnsi="仿宋" w:eastAsia="仿宋"/>
          <w:b/>
          <w:color w:val="auto"/>
          <w:sz w:val="28"/>
        </w:rPr>
        <w:t>八</w:t>
      </w:r>
      <w:r>
        <w:rPr>
          <w:rFonts w:ascii="仿宋" w:hAnsi="仿宋" w:eastAsia="仿宋"/>
          <w:b/>
          <w:color w:val="auto"/>
          <w:sz w:val="28"/>
        </w:rPr>
        <w:t>、其他</w:t>
      </w:r>
    </w:p>
    <w:p>
      <w:pPr>
        <w:snapToGrid w:val="0"/>
        <w:spacing w:line="500" w:lineRule="exact"/>
        <w:ind w:firstLine="480"/>
        <w:rPr>
          <w:rFonts w:ascii="仿宋" w:hAnsi="仿宋" w:eastAsia="仿宋"/>
          <w:color w:val="auto"/>
          <w:sz w:val="24"/>
        </w:rPr>
      </w:pPr>
      <w:r>
        <w:rPr>
          <w:rFonts w:ascii="仿宋" w:hAnsi="仿宋" w:eastAsia="仿宋"/>
          <w:color w:val="auto"/>
          <w:sz w:val="24"/>
        </w:rPr>
        <w:t>（一）供应商必须在响应文件中对以上条款和服务承诺明确列出，承诺内容必须达到本篇及竞争性磋商文件其他条款的要求。</w:t>
      </w:r>
    </w:p>
    <w:p>
      <w:pPr>
        <w:snapToGrid w:val="0"/>
        <w:spacing w:line="500" w:lineRule="exact"/>
        <w:ind w:firstLine="480"/>
        <w:rPr>
          <w:rFonts w:ascii="仿宋" w:hAnsi="仿宋" w:eastAsia="仿宋"/>
          <w:color w:val="auto"/>
          <w:sz w:val="24"/>
        </w:rPr>
      </w:pPr>
      <w:r>
        <w:rPr>
          <w:rFonts w:ascii="仿宋" w:hAnsi="仿宋" w:eastAsia="仿宋"/>
          <w:color w:val="auto"/>
          <w:sz w:val="24"/>
        </w:rPr>
        <w:t>（</w:t>
      </w:r>
      <w:r>
        <w:rPr>
          <w:rFonts w:hint="eastAsia" w:ascii="仿宋" w:hAnsi="仿宋" w:eastAsia="仿宋"/>
          <w:color w:val="auto"/>
          <w:sz w:val="24"/>
        </w:rPr>
        <w:t>二</w:t>
      </w:r>
      <w:r>
        <w:rPr>
          <w:rFonts w:ascii="仿宋" w:hAnsi="仿宋" w:eastAsia="仿宋"/>
          <w:color w:val="auto"/>
          <w:sz w:val="24"/>
        </w:rPr>
        <w:t>）其他未尽事宜由供需双方在采购合同中详细约定。</w:t>
      </w:r>
    </w:p>
    <w:p>
      <w:pPr>
        <w:snapToGrid w:val="0"/>
        <w:spacing w:line="500" w:lineRule="exact"/>
        <w:ind w:firstLine="480"/>
        <w:rPr>
          <w:rFonts w:ascii="仿宋" w:hAnsi="仿宋" w:eastAsia="仿宋"/>
          <w:color w:val="auto"/>
          <w:sz w:val="24"/>
        </w:rPr>
      </w:pPr>
    </w:p>
    <w:p>
      <w:pPr>
        <w:keepNext/>
        <w:keepLines/>
        <w:snapToGrid w:val="0"/>
        <w:spacing w:line="500" w:lineRule="exact"/>
        <w:ind w:firstLine="482"/>
        <w:rPr>
          <w:rFonts w:ascii="仿宋" w:hAnsi="仿宋" w:eastAsia="仿宋"/>
          <w:b/>
          <w:color w:val="auto"/>
          <w:sz w:val="28"/>
        </w:rPr>
      </w:pPr>
    </w:p>
    <w:p>
      <w:pPr>
        <w:keepNext/>
        <w:keepLines/>
        <w:pageBreakBefore/>
        <w:snapToGrid w:val="0"/>
        <w:spacing w:before="260" w:after="260" w:line="360" w:lineRule="auto"/>
        <w:jc w:val="center"/>
        <w:outlineLvl w:val="0"/>
        <w:rPr>
          <w:rFonts w:ascii="方正小标宋_GBK" w:hAnsi="方正小标宋_GBK" w:eastAsia="方正小标宋_GBK" w:cs="方正小标宋_GBK"/>
          <w:b/>
          <w:color w:val="auto"/>
          <w:sz w:val="36"/>
          <w:szCs w:val="36"/>
        </w:rPr>
      </w:pPr>
      <w:bookmarkStart w:id="13" w:name="_Toc10712"/>
      <w:bookmarkStart w:id="14" w:name="_Toc4682"/>
      <w:r>
        <w:rPr>
          <w:rFonts w:hint="eastAsia" w:ascii="方正小标宋_GBK" w:hAnsi="方正小标宋_GBK" w:eastAsia="方正小标宋_GBK" w:cs="方正小标宋_GBK"/>
          <w:b/>
          <w:color w:val="auto"/>
          <w:sz w:val="36"/>
          <w:szCs w:val="36"/>
        </w:rPr>
        <w:t>第四篇  磋商程序及方法、评审标准、无效响应和采购终止</w:t>
      </w:r>
      <w:bookmarkEnd w:id="13"/>
      <w:bookmarkEnd w:id="14"/>
    </w:p>
    <w:p>
      <w:pPr>
        <w:keepNext/>
        <w:keepLines/>
        <w:snapToGrid w:val="0"/>
        <w:spacing w:line="500" w:lineRule="exact"/>
        <w:ind w:firstLine="482"/>
        <w:outlineLvl w:val="1"/>
        <w:rPr>
          <w:rFonts w:ascii="仿宋" w:hAnsi="仿宋" w:eastAsia="仿宋"/>
          <w:b/>
          <w:color w:val="auto"/>
          <w:sz w:val="28"/>
        </w:rPr>
      </w:pPr>
      <w:bookmarkStart w:id="15" w:name="_Toc15927"/>
      <w:r>
        <w:rPr>
          <w:rFonts w:hint="eastAsia" w:ascii="仿宋" w:hAnsi="仿宋" w:eastAsia="仿宋"/>
          <w:b/>
          <w:color w:val="auto"/>
          <w:sz w:val="28"/>
        </w:rPr>
        <w:t>一、磋商程序及方法</w:t>
      </w:r>
      <w:bookmarkEnd w:id="15"/>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（二）磋商小组对各供应商的资格条件、响应文件的有效性、完整性和响应程度进行审查。各供应商只有在完全符合要求的前提下，才能参与正式磋商。</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1.资格性检查。依据法律法规和竞争性磋商文件的规定，对响应文件中的资格证明、磋商保证金等进行审查，以确定供应商是否具备磋商资格。资格性检查资料表如下：</w:t>
      </w:r>
    </w:p>
    <w:tbl>
      <w:tblPr>
        <w:tblStyle w:val="7"/>
        <w:tblW w:w="9628" w:type="dxa"/>
        <w:tblInd w:w="108" w:type="dxa"/>
        <w:tblLayout w:type="fixed"/>
        <w:tblCellMar>
          <w:top w:w="0" w:type="dxa"/>
          <w:left w:w="0" w:type="dxa"/>
          <w:bottom w:w="0" w:type="dxa"/>
          <w:right w:w="0" w:type="dxa"/>
        </w:tblCellMar>
      </w:tblPr>
      <w:tblGrid>
        <w:gridCol w:w="817"/>
        <w:gridCol w:w="851"/>
        <w:gridCol w:w="4110"/>
        <w:gridCol w:w="3850"/>
      </w:tblGrid>
      <w:tr>
        <w:tblPrEx>
          <w:tblCellMar>
            <w:top w:w="0" w:type="dxa"/>
            <w:left w:w="0" w:type="dxa"/>
            <w:bottom w:w="0" w:type="dxa"/>
            <w:right w:w="0" w:type="dxa"/>
          </w:tblCellMar>
        </w:tblPrEx>
        <w:trPr>
          <w:trHeight w:val="445"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jc w:val="center"/>
              <w:rPr>
                <w:rFonts w:ascii="仿宋" w:hAnsi="仿宋" w:eastAsia="仿宋"/>
                <w:color w:val="auto"/>
                <w:sz w:val="24"/>
              </w:rPr>
            </w:pPr>
            <w:r>
              <w:rPr>
                <w:rFonts w:hint="eastAsia" w:ascii="仿宋" w:hAnsi="仿宋" w:eastAsia="仿宋"/>
                <w:color w:val="auto"/>
                <w:sz w:val="24"/>
              </w:rPr>
              <w:t>序号</w:t>
            </w:r>
          </w:p>
        </w:tc>
        <w:tc>
          <w:tcPr>
            <w:tcW w:w="496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jc w:val="center"/>
              <w:rPr>
                <w:rFonts w:ascii="仿宋" w:hAnsi="仿宋" w:eastAsia="仿宋"/>
                <w:color w:val="auto"/>
                <w:sz w:val="24"/>
              </w:rPr>
            </w:pPr>
            <w:r>
              <w:rPr>
                <w:rFonts w:hint="eastAsia" w:ascii="仿宋" w:hAnsi="仿宋" w:eastAsia="仿宋"/>
                <w:color w:val="auto"/>
                <w:sz w:val="24"/>
              </w:rPr>
              <w:t>检查因素</w:t>
            </w:r>
          </w:p>
        </w:tc>
        <w:tc>
          <w:tcPr>
            <w:tcW w:w="3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jc w:val="center"/>
              <w:rPr>
                <w:rFonts w:ascii="仿宋" w:hAnsi="仿宋" w:eastAsia="仿宋"/>
                <w:color w:val="auto"/>
                <w:sz w:val="24"/>
              </w:rPr>
            </w:pPr>
            <w:r>
              <w:rPr>
                <w:rFonts w:hint="eastAsia" w:ascii="仿宋" w:hAnsi="仿宋" w:eastAsia="仿宋"/>
                <w:color w:val="auto"/>
                <w:sz w:val="24"/>
              </w:rPr>
              <w:t>检查内容</w:t>
            </w:r>
          </w:p>
        </w:tc>
      </w:tr>
      <w:tr>
        <w:tblPrEx>
          <w:tblCellMar>
            <w:top w:w="0" w:type="dxa"/>
            <w:left w:w="0" w:type="dxa"/>
            <w:bottom w:w="0" w:type="dxa"/>
            <w:right w:w="0" w:type="dxa"/>
          </w:tblCellMar>
        </w:tblPrEx>
        <w:trPr>
          <w:trHeight w:val="872" w:hRule="atLeast"/>
        </w:trPr>
        <w:tc>
          <w:tcPr>
            <w:tcW w:w="81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jc w:val="center"/>
              <w:rPr>
                <w:rFonts w:ascii="仿宋" w:hAnsi="仿宋" w:eastAsia="仿宋"/>
                <w:color w:val="auto"/>
                <w:sz w:val="24"/>
              </w:rPr>
            </w:pPr>
            <w:r>
              <w:rPr>
                <w:rFonts w:hint="eastAsia" w:ascii="仿宋" w:hAnsi="仿宋" w:eastAsia="仿宋"/>
                <w:color w:val="auto"/>
                <w:sz w:val="24"/>
              </w:rPr>
              <w:t>（一）</w:t>
            </w:r>
          </w:p>
          <w:p>
            <w:pPr>
              <w:snapToGrid w:val="0"/>
              <w:spacing w:line="240" w:lineRule="exact"/>
              <w:jc w:val="center"/>
              <w:rPr>
                <w:rFonts w:ascii="仿宋" w:hAnsi="仿宋" w:eastAsia="仿宋"/>
                <w:color w:val="auto"/>
                <w:sz w:val="24"/>
              </w:rPr>
            </w:pPr>
          </w:p>
          <w:p>
            <w:pPr>
              <w:snapToGrid w:val="0"/>
              <w:spacing w:line="240" w:lineRule="exact"/>
              <w:jc w:val="center"/>
              <w:rPr>
                <w:rFonts w:eastAsia="宋体"/>
                <w:color w:val="auto"/>
              </w:rPr>
            </w:pPr>
          </w:p>
          <w:p>
            <w:pPr>
              <w:snapToGrid w:val="0"/>
              <w:spacing w:line="240" w:lineRule="exact"/>
              <w:jc w:val="center"/>
              <w:rPr>
                <w:color w:val="auto"/>
              </w:rPr>
            </w:pPr>
          </w:p>
        </w:tc>
        <w:tc>
          <w:tcPr>
            <w:tcW w:w="85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r>
              <w:rPr>
                <w:rFonts w:hint="eastAsia" w:ascii="仿宋" w:hAnsi="仿宋" w:eastAsia="仿宋"/>
                <w:color w:val="auto"/>
                <w:sz w:val="24"/>
              </w:rPr>
              <w:t>《中华人民共和国政府采购法》第二十二条规定</w:t>
            </w:r>
          </w:p>
          <w:p>
            <w:pPr>
              <w:snapToGrid w:val="0"/>
              <w:spacing w:line="240" w:lineRule="exact"/>
              <w:rPr>
                <w:rFonts w:ascii="仿宋" w:hAnsi="仿宋" w:eastAsia="仿宋"/>
                <w:color w:val="auto"/>
                <w:sz w:val="24"/>
              </w:rPr>
            </w:pPr>
          </w:p>
          <w:p>
            <w:pPr>
              <w:snapToGrid w:val="0"/>
              <w:spacing w:line="240" w:lineRule="exact"/>
              <w:rPr>
                <w:rFonts w:eastAsia="宋体"/>
                <w:color w:val="auto"/>
              </w:rPr>
            </w:pPr>
          </w:p>
          <w:p>
            <w:pPr>
              <w:snapToGrid w:val="0"/>
              <w:spacing w:line="240" w:lineRule="exact"/>
              <w:rPr>
                <w:color w:val="auto"/>
              </w:rPr>
            </w:pPr>
          </w:p>
        </w:tc>
        <w:tc>
          <w:tcPr>
            <w:tcW w:w="4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r>
              <w:rPr>
                <w:rFonts w:hint="eastAsia" w:ascii="仿宋" w:hAnsi="仿宋" w:eastAsia="仿宋"/>
                <w:color w:val="auto"/>
                <w:sz w:val="24"/>
              </w:rPr>
              <w:t>1.具有独立承担民事责任的能力</w:t>
            </w:r>
          </w:p>
        </w:tc>
        <w:tc>
          <w:tcPr>
            <w:tcW w:w="3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r>
              <w:rPr>
                <w:rFonts w:hint="eastAsia" w:ascii="仿宋" w:hAnsi="仿宋" w:eastAsia="仿宋"/>
                <w:color w:val="auto"/>
                <w:sz w:val="24"/>
              </w:rPr>
              <w:t>1.供应商法人营业执照（副本）或事业单位法人证书（副本）或个体工商户营业执照有效的自然人身份证明或社会团体法人登记证书（副本）；</w:t>
            </w:r>
          </w:p>
          <w:p>
            <w:pPr>
              <w:snapToGrid w:val="0"/>
              <w:spacing w:line="240" w:lineRule="exact"/>
              <w:rPr>
                <w:rFonts w:ascii="仿宋" w:hAnsi="仿宋" w:eastAsia="仿宋"/>
                <w:color w:val="auto"/>
                <w:sz w:val="24"/>
              </w:rPr>
            </w:pPr>
            <w:r>
              <w:rPr>
                <w:rFonts w:hint="eastAsia" w:ascii="仿宋" w:hAnsi="仿宋" w:eastAsia="仿宋"/>
                <w:color w:val="auto"/>
                <w:sz w:val="24"/>
              </w:rPr>
              <w:t>2.供应商法定代表人身份证明和法定代表人授权代表委托书。</w:t>
            </w:r>
          </w:p>
        </w:tc>
      </w:tr>
      <w:tr>
        <w:tblPrEx>
          <w:tblCellMar>
            <w:top w:w="0" w:type="dxa"/>
            <w:left w:w="0" w:type="dxa"/>
            <w:bottom w:w="0" w:type="dxa"/>
            <w:right w:w="0" w:type="dxa"/>
          </w:tblCellMar>
        </w:tblPrEx>
        <w:trPr>
          <w:trHeight w:val="1222" w:hRule="atLeast"/>
        </w:trPr>
        <w:tc>
          <w:tcPr>
            <w:tcW w:w="81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color w:val="auto"/>
              </w:rPr>
            </w:pPr>
          </w:p>
        </w:tc>
        <w:tc>
          <w:tcPr>
            <w:tcW w:w="85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color w:val="auto"/>
              </w:rPr>
            </w:pPr>
          </w:p>
        </w:tc>
        <w:tc>
          <w:tcPr>
            <w:tcW w:w="4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r>
              <w:rPr>
                <w:rFonts w:hint="eastAsia" w:ascii="仿宋" w:hAnsi="仿宋" w:eastAsia="仿宋"/>
                <w:color w:val="auto"/>
                <w:sz w:val="24"/>
              </w:rPr>
              <w:t>2.具有良好的商业信誉和健全的财务会计制度</w:t>
            </w:r>
          </w:p>
        </w:tc>
        <w:tc>
          <w:tcPr>
            <w:tcW w:w="3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r>
              <w:rPr>
                <w:rFonts w:hint="eastAsia" w:ascii="仿宋" w:hAnsi="仿宋" w:eastAsia="仿宋"/>
                <w:color w:val="auto"/>
                <w:sz w:val="24"/>
              </w:rPr>
              <w:t>1.提供上一</w:t>
            </w:r>
            <w:r>
              <w:rPr>
                <w:rFonts w:ascii="仿宋" w:hAnsi="仿宋" w:eastAsia="仿宋"/>
                <w:color w:val="auto"/>
                <w:sz w:val="24"/>
              </w:rPr>
              <w:t>年度</w:t>
            </w:r>
            <w:r>
              <w:rPr>
                <w:rFonts w:hint="eastAsia" w:ascii="仿宋" w:hAnsi="仿宋" w:eastAsia="仿宋"/>
                <w:color w:val="auto"/>
                <w:sz w:val="24"/>
              </w:rPr>
              <w:t>财务状况报告（表）复印件；</w:t>
            </w:r>
          </w:p>
          <w:p>
            <w:pPr>
              <w:snapToGrid w:val="0"/>
              <w:spacing w:line="240" w:lineRule="exact"/>
              <w:rPr>
                <w:rFonts w:ascii="仿宋" w:hAnsi="仿宋" w:eastAsia="仿宋"/>
                <w:color w:val="auto"/>
                <w:sz w:val="24"/>
              </w:rPr>
            </w:pPr>
            <w:r>
              <w:rPr>
                <w:rFonts w:hint="eastAsia" w:ascii="仿宋" w:hAnsi="仿宋" w:eastAsia="仿宋"/>
                <w:color w:val="auto"/>
                <w:sz w:val="24"/>
              </w:rPr>
              <w:t>2.本年度新成立或成立不满一年的组织和自然人无法提供财务状况报告（表）的，可提供银行出具的资信证明复印件。</w:t>
            </w:r>
          </w:p>
        </w:tc>
      </w:tr>
      <w:tr>
        <w:tblPrEx>
          <w:tblCellMar>
            <w:top w:w="0" w:type="dxa"/>
            <w:left w:w="0" w:type="dxa"/>
            <w:bottom w:w="0" w:type="dxa"/>
            <w:right w:w="0" w:type="dxa"/>
          </w:tblCellMar>
        </w:tblPrEx>
        <w:trPr>
          <w:trHeight w:val="709" w:hRule="atLeast"/>
        </w:trPr>
        <w:tc>
          <w:tcPr>
            <w:tcW w:w="81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color w:val="auto"/>
              </w:rPr>
            </w:pPr>
          </w:p>
        </w:tc>
        <w:tc>
          <w:tcPr>
            <w:tcW w:w="85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color w:val="auto"/>
              </w:rPr>
            </w:pPr>
          </w:p>
        </w:tc>
        <w:tc>
          <w:tcPr>
            <w:tcW w:w="4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r>
              <w:rPr>
                <w:rFonts w:hint="eastAsia" w:ascii="仿宋" w:hAnsi="仿宋" w:eastAsia="仿宋"/>
                <w:color w:val="auto"/>
                <w:sz w:val="24"/>
              </w:rPr>
              <w:t>3.具有履行合同所必需的设备和专业技术能力</w:t>
            </w:r>
          </w:p>
        </w:tc>
        <w:tc>
          <w:tcPr>
            <w:tcW w:w="3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r>
              <w:rPr>
                <w:rFonts w:hint="eastAsia" w:ascii="仿宋" w:hAnsi="仿宋" w:eastAsia="仿宋"/>
                <w:color w:val="auto"/>
                <w:sz w:val="24"/>
              </w:rPr>
              <w:t>供应商提供书面声明或相关证明材料（见格式文件）。</w:t>
            </w:r>
          </w:p>
        </w:tc>
      </w:tr>
      <w:tr>
        <w:tblPrEx>
          <w:tblCellMar>
            <w:top w:w="0" w:type="dxa"/>
            <w:left w:w="0" w:type="dxa"/>
            <w:bottom w:w="0" w:type="dxa"/>
            <w:right w:w="0" w:type="dxa"/>
          </w:tblCellMar>
        </w:tblPrEx>
        <w:trPr>
          <w:trHeight w:val="2122" w:hRule="atLeast"/>
        </w:trPr>
        <w:tc>
          <w:tcPr>
            <w:tcW w:w="81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color w:val="auto"/>
              </w:rPr>
            </w:pPr>
          </w:p>
        </w:tc>
        <w:tc>
          <w:tcPr>
            <w:tcW w:w="85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color w:val="auto"/>
              </w:rPr>
            </w:pPr>
          </w:p>
        </w:tc>
        <w:tc>
          <w:tcPr>
            <w:tcW w:w="4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r>
              <w:rPr>
                <w:rFonts w:hint="eastAsia" w:ascii="仿宋" w:hAnsi="仿宋" w:eastAsia="仿宋"/>
                <w:color w:val="auto"/>
                <w:sz w:val="24"/>
              </w:rPr>
              <w:t>4.有依法缴纳税收和社会保障金的良好记录</w:t>
            </w:r>
          </w:p>
        </w:tc>
        <w:tc>
          <w:tcPr>
            <w:tcW w:w="3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r>
              <w:rPr>
                <w:rFonts w:hint="eastAsia" w:ascii="仿宋" w:hAnsi="仿宋" w:eastAsia="仿宋"/>
                <w:color w:val="auto"/>
                <w:sz w:val="24"/>
              </w:rPr>
              <w:t>1.税务登记证（副本）复印件（注①）2.缴纳社会保障金的证明材料复印件（缴纳社会保障金的证明材料指：社会保险登记证或缴纳社会保险的凭据（专用收据或社会保险缴纳清单）。</w:t>
            </w:r>
          </w:p>
          <w:p>
            <w:pPr>
              <w:snapToGrid w:val="0"/>
              <w:spacing w:line="240" w:lineRule="exact"/>
              <w:rPr>
                <w:rFonts w:ascii="仿宋" w:hAnsi="仿宋" w:eastAsia="仿宋"/>
                <w:color w:val="auto"/>
                <w:sz w:val="24"/>
              </w:rPr>
            </w:pPr>
            <w:r>
              <w:rPr>
                <w:rFonts w:hint="eastAsia" w:ascii="仿宋" w:hAnsi="仿宋" w:eastAsia="仿宋"/>
                <w:color w:val="auto"/>
                <w:sz w:val="24"/>
              </w:rPr>
              <w:t>3.依法免税或不需要缴纳社会保障资金的供应商，应提供相应文件证明其依法免税或不需要缴纳社会保障资金。</w:t>
            </w:r>
          </w:p>
        </w:tc>
      </w:tr>
      <w:tr>
        <w:tblPrEx>
          <w:tblCellMar>
            <w:top w:w="0" w:type="dxa"/>
            <w:left w:w="0" w:type="dxa"/>
            <w:bottom w:w="0" w:type="dxa"/>
            <w:right w:w="0" w:type="dxa"/>
          </w:tblCellMar>
        </w:tblPrEx>
        <w:trPr>
          <w:trHeight w:val="350" w:hRule="atLeast"/>
        </w:trPr>
        <w:tc>
          <w:tcPr>
            <w:tcW w:w="81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color w:val="auto"/>
              </w:rPr>
            </w:pPr>
          </w:p>
        </w:tc>
        <w:tc>
          <w:tcPr>
            <w:tcW w:w="85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color w:val="auto"/>
              </w:rPr>
            </w:pPr>
          </w:p>
        </w:tc>
        <w:tc>
          <w:tcPr>
            <w:tcW w:w="4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r>
              <w:rPr>
                <w:rFonts w:hint="eastAsia" w:ascii="仿宋" w:hAnsi="仿宋" w:eastAsia="仿宋"/>
                <w:color w:val="auto"/>
                <w:sz w:val="24"/>
              </w:rPr>
              <w:t>5.近三年内参加政府采购活动中没有重大违法记录（2019-2021</w:t>
            </w:r>
            <w:r>
              <w:rPr>
                <w:rFonts w:hint="eastAsia" w:ascii="仿宋" w:hAnsi="仿宋" w:eastAsia="仿宋"/>
                <w:color w:val="auto"/>
                <w:sz w:val="24"/>
                <w:lang w:val="en-US" w:eastAsia="zh-CN"/>
              </w:rPr>
              <w:t>年</w:t>
            </w:r>
            <w:r>
              <w:rPr>
                <w:rFonts w:hint="eastAsia" w:ascii="仿宋" w:hAnsi="仿宋" w:eastAsia="仿宋"/>
                <w:color w:val="auto"/>
                <w:sz w:val="24"/>
              </w:rPr>
              <w:t>）（注②）</w:t>
            </w:r>
          </w:p>
        </w:tc>
        <w:tc>
          <w:tcPr>
            <w:tcW w:w="3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r>
              <w:rPr>
                <w:rFonts w:hint="eastAsia" w:ascii="仿宋" w:hAnsi="仿宋" w:eastAsia="仿宋"/>
                <w:color w:val="auto"/>
                <w:sz w:val="24"/>
              </w:rPr>
              <w:t>1.供应商提供书面声明（见格式文件）；</w:t>
            </w:r>
          </w:p>
          <w:p>
            <w:pPr>
              <w:snapToGrid w:val="0"/>
              <w:spacing w:line="240" w:lineRule="exact"/>
              <w:rPr>
                <w:rFonts w:ascii="仿宋" w:hAnsi="仿宋" w:eastAsia="仿宋"/>
                <w:b/>
                <w:color w:val="auto"/>
                <w:sz w:val="24"/>
              </w:rPr>
            </w:pPr>
            <w:r>
              <w:rPr>
                <w:rFonts w:hint="eastAsia" w:ascii="仿宋" w:hAnsi="仿宋" w:eastAsia="仿宋"/>
                <w:color w:val="auto"/>
                <w:sz w:val="24"/>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CellMar>
            <w:top w:w="0" w:type="dxa"/>
            <w:left w:w="0" w:type="dxa"/>
            <w:bottom w:w="0" w:type="dxa"/>
            <w:right w:w="0" w:type="dxa"/>
          </w:tblCellMar>
        </w:tblPrEx>
        <w:trPr>
          <w:trHeight w:val="414" w:hRule="atLeast"/>
        </w:trPr>
        <w:tc>
          <w:tcPr>
            <w:tcW w:w="81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color w:val="auto"/>
              </w:rPr>
            </w:pPr>
          </w:p>
        </w:tc>
        <w:tc>
          <w:tcPr>
            <w:tcW w:w="85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color w:val="auto"/>
              </w:rPr>
            </w:pPr>
          </w:p>
        </w:tc>
        <w:tc>
          <w:tcPr>
            <w:tcW w:w="4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r>
              <w:rPr>
                <w:rFonts w:hint="eastAsia" w:ascii="仿宋" w:hAnsi="仿宋" w:eastAsia="仿宋"/>
                <w:color w:val="auto"/>
                <w:sz w:val="24"/>
              </w:rPr>
              <w:t>6.法律、行政法规规定的其他条件</w:t>
            </w:r>
          </w:p>
        </w:tc>
        <w:tc>
          <w:tcPr>
            <w:tcW w:w="3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p>
        </w:tc>
      </w:tr>
      <w:tr>
        <w:tblPrEx>
          <w:tblCellMar>
            <w:top w:w="0" w:type="dxa"/>
            <w:left w:w="0" w:type="dxa"/>
            <w:bottom w:w="0" w:type="dxa"/>
            <w:right w:w="0" w:type="dxa"/>
          </w:tblCellMar>
        </w:tblPrEx>
        <w:trPr>
          <w:trHeight w:val="389"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jc w:val="center"/>
              <w:rPr>
                <w:rFonts w:ascii="仿宋" w:hAnsi="仿宋" w:eastAsia="仿宋"/>
                <w:color w:val="auto"/>
                <w:sz w:val="24"/>
              </w:rPr>
            </w:pPr>
            <w:r>
              <w:rPr>
                <w:rFonts w:hint="eastAsia" w:ascii="仿宋" w:hAnsi="仿宋" w:eastAsia="仿宋"/>
                <w:color w:val="auto"/>
                <w:sz w:val="24"/>
              </w:rPr>
              <w:t>（二）</w:t>
            </w:r>
          </w:p>
        </w:tc>
        <w:tc>
          <w:tcPr>
            <w:tcW w:w="496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r>
              <w:rPr>
                <w:rFonts w:hint="eastAsia" w:ascii="仿宋" w:hAnsi="仿宋" w:eastAsia="仿宋"/>
                <w:color w:val="auto"/>
                <w:sz w:val="24"/>
              </w:rPr>
              <w:t>投标保证金</w:t>
            </w:r>
          </w:p>
        </w:tc>
        <w:tc>
          <w:tcPr>
            <w:tcW w:w="3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r>
              <w:rPr>
                <w:rFonts w:hint="eastAsia" w:ascii="仿宋" w:hAnsi="仿宋" w:eastAsia="仿宋"/>
                <w:color w:val="auto"/>
                <w:sz w:val="24"/>
              </w:rPr>
              <w:t>按照采购文件的规定提交磋商保证金。</w:t>
            </w:r>
          </w:p>
        </w:tc>
      </w:tr>
    </w:tbl>
    <w:p>
      <w:pPr>
        <w:snapToGrid w:val="0"/>
        <w:spacing w:line="500" w:lineRule="exact"/>
        <w:ind w:firstLine="482"/>
        <w:rPr>
          <w:rFonts w:ascii="仿宋" w:hAnsi="仿宋" w:eastAsia="仿宋"/>
          <w:color w:val="auto"/>
          <w:sz w:val="24"/>
        </w:rPr>
      </w:pPr>
      <w:r>
        <w:rPr>
          <w:rFonts w:hint="eastAsia" w:ascii="仿宋" w:hAnsi="仿宋" w:eastAsia="仿宋"/>
          <w:color w:val="auto"/>
          <w:sz w:val="24"/>
        </w:rPr>
        <w:t>注：①供应商按“多证合一”登记制度办理营业执照的，组织机构代码证和税务登记证及社会保险登记以供应商所提供的法人营业执照（副本）复印件为准。</w:t>
      </w:r>
    </w:p>
    <w:p>
      <w:pPr>
        <w:snapToGrid w:val="0"/>
        <w:spacing w:line="500" w:lineRule="exact"/>
        <w:ind w:firstLine="482"/>
        <w:rPr>
          <w:rFonts w:ascii="仿宋" w:hAnsi="仿宋" w:eastAsia="仿宋"/>
          <w:color w:val="auto"/>
          <w:sz w:val="24"/>
        </w:rPr>
      </w:pPr>
      <w:r>
        <w:rPr>
          <w:rFonts w:hint="eastAsia" w:ascii="仿宋" w:hAnsi="仿宋" w:eastAsia="仿宋"/>
          <w:color w:val="auto"/>
          <w:sz w:val="24"/>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500" w:lineRule="exact"/>
        <w:ind w:firstLine="482"/>
        <w:rPr>
          <w:rFonts w:ascii="仿宋" w:hAnsi="仿宋" w:eastAsia="仿宋"/>
          <w:color w:val="auto"/>
          <w:sz w:val="24"/>
        </w:rPr>
      </w:pPr>
      <w:r>
        <w:rPr>
          <w:rFonts w:hint="eastAsia" w:ascii="仿宋" w:hAnsi="仿宋" w:eastAsia="仿宋"/>
          <w:color w:val="auto"/>
          <w:sz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7"/>
        <w:tblW w:w="9464" w:type="dxa"/>
        <w:tblInd w:w="108" w:type="dxa"/>
        <w:tblLayout w:type="fixed"/>
        <w:tblCellMar>
          <w:top w:w="0" w:type="dxa"/>
          <w:left w:w="0" w:type="dxa"/>
          <w:bottom w:w="0" w:type="dxa"/>
          <w:right w:w="0" w:type="dxa"/>
        </w:tblCellMar>
      </w:tblPr>
      <w:tblGrid>
        <w:gridCol w:w="675"/>
        <w:gridCol w:w="1573"/>
        <w:gridCol w:w="1996"/>
        <w:gridCol w:w="5220"/>
      </w:tblGrid>
      <w:tr>
        <w:tblPrEx>
          <w:tblCellMar>
            <w:top w:w="0" w:type="dxa"/>
            <w:left w:w="0" w:type="dxa"/>
            <w:bottom w:w="0" w:type="dxa"/>
            <w:right w:w="0" w:type="dxa"/>
          </w:tblCellMar>
        </w:tblPrEx>
        <w:trPr>
          <w:trHeight w:val="355" w:hRule="atLeast"/>
        </w:trPr>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jc w:val="center"/>
              <w:rPr>
                <w:rFonts w:ascii="仿宋" w:hAnsi="仿宋" w:eastAsia="仿宋"/>
                <w:b/>
                <w:color w:val="auto"/>
                <w:sz w:val="24"/>
              </w:rPr>
            </w:pPr>
            <w:r>
              <w:rPr>
                <w:rFonts w:hint="eastAsia" w:ascii="仿宋" w:hAnsi="仿宋" w:eastAsia="仿宋"/>
                <w:b/>
                <w:color w:val="auto"/>
                <w:sz w:val="24"/>
              </w:rPr>
              <w:t>序号</w:t>
            </w:r>
          </w:p>
        </w:tc>
        <w:tc>
          <w:tcPr>
            <w:tcW w:w="35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jc w:val="center"/>
              <w:rPr>
                <w:rFonts w:ascii="仿宋" w:hAnsi="仿宋" w:eastAsia="仿宋"/>
                <w:b/>
                <w:color w:val="auto"/>
                <w:sz w:val="24"/>
              </w:rPr>
            </w:pPr>
            <w:r>
              <w:rPr>
                <w:rFonts w:hint="eastAsia" w:ascii="仿宋" w:hAnsi="仿宋" w:eastAsia="仿宋"/>
                <w:b/>
                <w:color w:val="auto"/>
                <w:sz w:val="24"/>
              </w:rPr>
              <w:t>评审因素</w:t>
            </w:r>
          </w:p>
        </w:tc>
        <w:tc>
          <w:tcPr>
            <w:tcW w:w="5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jc w:val="center"/>
              <w:rPr>
                <w:rFonts w:ascii="仿宋" w:hAnsi="仿宋" w:eastAsia="仿宋"/>
                <w:b/>
                <w:color w:val="auto"/>
                <w:sz w:val="24"/>
              </w:rPr>
            </w:pPr>
            <w:r>
              <w:rPr>
                <w:rFonts w:hint="eastAsia" w:ascii="仿宋" w:hAnsi="仿宋" w:eastAsia="仿宋"/>
                <w:b/>
                <w:color w:val="auto"/>
                <w:sz w:val="24"/>
              </w:rPr>
              <w:t>评审标准</w:t>
            </w:r>
          </w:p>
        </w:tc>
      </w:tr>
      <w:tr>
        <w:tblPrEx>
          <w:tblCellMar>
            <w:top w:w="0" w:type="dxa"/>
            <w:left w:w="0" w:type="dxa"/>
            <w:bottom w:w="0" w:type="dxa"/>
            <w:right w:w="0" w:type="dxa"/>
          </w:tblCellMar>
        </w:tblPrEx>
        <w:trPr>
          <w:trHeight w:val="424" w:hRule="atLeast"/>
        </w:trPr>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jc w:val="center"/>
              <w:rPr>
                <w:rFonts w:ascii="仿宋" w:hAnsi="仿宋" w:eastAsia="仿宋"/>
                <w:color w:val="auto"/>
                <w:sz w:val="24"/>
              </w:rPr>
            </w:pPr>
            <w:r>
              <w:rPr>
                <w:rFonts w:hint="eastAsia" w:ascii="仿宋" w:hAnsi="仿宋" w:eastAsia="仿宋"/>
                <w:color w:val="auto"/>
                <w:sz w:val="24"/>
              </w:rPr>
              <w:t>1</w:t>
            </w:r>
          </w:p>
        </w:tc>
        <w:tc>
          <w:tcPr>
            <w:tcW w:w="15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r>
              <w:rPr>
                <w:rFonts w:hint="eastAsia" w:ascii="仿宋" w:hAnsi="仿宋" w:eastAsia="仿宋"/>
                <w:color w:val="auto"/>
                <w:sz w:val="24"/>
              </w:rPr>
              <w:t>有效性审查</w:t>
            </w:r>
          </w:p>
        </w:tc>
        <w:tc>
          <w:tcPr>
            <w:tcW w:w="19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r>
              <w:rPr>
                <w:rFonts w:hint="eastAsia" w:ascii="仿宋" w:hAnsi="仿宋" w:eastAsia="仿宋"/>
                <w:color w:val="auto"/>
                <w:sz w:val="24"/>
              </w:rPr>
              <w:t>响应文件签署</w:t>
            </w:r>
          </w:p>
        </w:tc>
        <w:tc>
          <w:tcPr>
            <w:tcW w:w="5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r>
              <w:rPr>
                <w:rFonts w:hint="eastAsia" w:ascii="仿宋" w:hAnsi="仿宋" w:eastAsia="仿宋"/>
                <w:color w:val="auto"/>
                <w:sz w:val="24"/>
              </w:rPr>
              <w:t>响应文件上法定代表人或其授权代表人的签字齐全。</w:t>
            </w:r>
          </w:p>
        </w:tc>
      </w:tr>
      <w:tr>
        <w:tblPrEx>
          <w:tblCellMar>
            <w:top w:w="0" w:type="dxa"/>
            <w:left w:w="0" w:type="dxa"/>
            <w:bottom w:w="0" w:type="dxa"/>
            <w:right w:w="0" w:type="dxa"/>
          </w:tblCellMar>
        </w:tblPrEx>
        <w:trPr>
          <w:trHeight w:val="451" w:hRule="atLeast"/>
        </w:trPr>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jc w:val="center"/>
              <w:rPr>
                <w:rFonts w:ascii="仿宋" w:hAnsi="仿宋" w:eastAsia="仿宋"/>
                <w:color w:val="auto"/>
                <w:sz w:val="24"/>
              </w:rPr>
            </w:pPr>
            <w:r>
              <w:rPr>
                <w:rFonts w:hint="eastAsia" w:ascii="仿宋" w:hAnsi="仿宋" w:eastAsia="仿宋"/>
                <w:color w:val="auto"/>
                <w:sz w:val="24"/>
              </w:rPr>
              <w:t>2</w:t>
            </w:r>
          </w:p>
        </w:tc>
        <w:tc>
          <w:tcPr>
            <w:tcW w:w="15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r>
              <w:rPr>
                <w:rFonts w:hint="eastAsia" w:ascii="仿宋" w:hAnsi="仿宋" w:eastAsia="仿宋"/>
                <w:color w:val="auto"/>
                <w:sz w:val="24"/>
              </w:rPr>
              <w:t>完整性审查</w:t>
            </w:r>
          </w:p>
        </w:tc>
        <w:tc>
          <w:tcPr>
            <w:tcW w:w="19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r>
              <w:rPr>
                <w:rFonts w:hint="eastAsia" w:ascii="仿宋" w:hAnsi="仿宋" w:eastAsia="仿宋"/>
                <w:color w:val="auto"/>
                <w:sz w:val="24"/>
              </w:rPr>
              <w:t>响应文件份数</w:t>
            </w:r>
          </w:p>
        </w:tc>
        <w:tc>
          <w:tcPr>
            <w:tcW w:w="5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r>
              <w:rPr>
                <w:rFonts w:hint="eastAsia" w:ascii="仿宋" w:hAnsi="仿宋" w:eastAsia="仿宋"/>
                <w:color w:val="auto"/>
                <w:sz w:val="24"/>
              </w:rPr>
              <w:t>响应文件正、副本及电子文档数量符合本竞争性磋商文件要求。</w:t>
            </w:r>
          </w:p>
        </w:tc>
      </w:tr>
      <w:tr>
        <w:tblPrEx>
          <w:tblCellMar>
            <w:top w:w="0" w:type="dxa"/>
            <w:left w:w="0" w:type="dxa"/>
            <w:bottom w:w="0" w:type="dxa"/>
            <w:right w:w="0" w:type="dxa"/>
          </w:tblCellMar>
        </w:tblPrEx>
        <w:trPr>
          <w:trHeight w:val="717" w:hRule="atLeast"/>
        </w:trPr>
        <w:tc>
          <w:tcPr>
            <w:tcW w:w="67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jc w:val="center"/>
              <w:rPr>
                <w:rFonts w:ascii="仿宋" w:hAnsi="仿宋" w:eastAsia="仿宋"/>
                <w:color w:val="auto"/>
                <w:sz w:val="24"/>
              </w:rPr>
            </w:pPr>
            <w:r>
              <w:rPr>
                <w:rFonts w:hint="eastAsia" w:ascii="仿宋" w:hAnsi="仿宋" w:eastAsia="仿宋"/>
                <w:color w:val="auto"/>
                <w:sz w:val="24"/>
              </w:rPr>
              <w:t>3</w:t>
            </w:r>
          </w:p>
        </w:tc>
        <w:tc>
          <w:tcPr>
            <w:tcW w:w="1573"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r>
              <w:rPr>
                <w:rFonts w:hint="eastAsia" w:ascii="仿宋" w:hAnsi="仿宋" w:eastAsia="仿宋"/>
                <w:color w:val="auto"/>
                <w:sz w:val="24"/>
              </w:rPr>
              <w:t>实质性审查</w:t>
            </w:r>
          </w:p>
        </w:tc>
        <w:tc>
          <w:tcPr>
            <w:tcW w:w="19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r>
              <w:rPr>
                <w:rFonts w:hint="eastAsia" w:ascii="仿宋" w:hAnsi="仿宋" w:eastAsia="仿宋"/>
                <w:color w:val="auto"/>
                <w:sz w:val="24"/>
              </w:rPr>
              <w:t>响应文件内容</w:t>
            </w:r>
          </w:p>
        </w:tc>
        <w:tc>
          <w:tcPr>
            <w:tcW w:w="5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r>
              <w:rPr>
                <w:rFonts w:hint="eastAsia" w:ascii="仿宋" w:hAnsi="仿宋" w:eastAsia="仿宋"/>
                <w:color w:val="auto"/>
                <w:sz w:val="24"/>
              </w:rPr>
              <w:t>满足本竞争性磋商文件第二篇、第三篇中（※）号标注部分的要求</w:t>
            </w:r>
          </w:p>
        </w:tc>
      </w:tr>
      <w:tr>
        <w:tblPrEx>
          <w:tblCellMar>
            <w:top w:w="0" w:type="dxa"/>
            <w:left w:w="0" w:type="dxa"/>
            <w:bottom w:w="0" w:type="dxa"/>
            <w:right w:w="0" w:type="dxa"/>
          </w:tblCellMar>
        </w:tblPrEx>
        <w:trPr>
          <w:trHeight w:val="481" w:hRule="atLeast"/>
        </w:trPr>
        <w:tc>
          <w:tcPr>
            <w:tcW w:w="67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p>
        </w:tc>
        <w:tc>
          <w:tcPr>
            <w:tcW w:w="15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p>
        </w:tc>
        <w:tc>
          <w:tcPr>
            <w:tcW w:w="19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r>
              <w:rPr>
                <w:rFonts w:hint="eastAsia" w:ascii="仿宋" w:hAnsi="仿宋" w:eastAsia="仿宋"/>
                <w:color w:val="auto"/>
                <w:sz w:val="24"/>
              </w:rPr>
              <w:t>磋商有效期</w:t>
            </w:r>
          </w:p>
        </w:tc>
        <w:tc>
          <w:tcPr>
            <w:tcW w:w="5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exact"/>
              <w:rPr>
                <w:rFonts w:ascii="仿宋" w:hAnsi="仿宋" w:eastAsia="仿宋"/>
                <w:color w:val="auto"/>
                <w:sz w:val="24"/>
              </w:rPr>
            </w:pPr>
            <w:r>
              <w:rPr>
                <w:rFonts w:hint="eastAsia" w:ascii="仿宋" w:hAnsi="仿宋" w:eastAsia="仿宋"/>
                <w:color w:val="auto"/>
                <w:sz w:val="24"/>
              </w:rPr>
              <w:t>满足竞争性磋商文件规定。</w:t>
            </w:r>
          </w:p>
        </w:tc>
      </w:tr>
    </w:tbl>
    <w:p>
      <w:pPr>
        <w:snapToGrid w:val="0"/>
        <w:spacing w:line="500" w:lineRule="exact"/>
        <w:ind w:firstLine="482"/>
        <w:rPr>
          <w:rFonts w:ascii="仿宋" w:hAnsi="仿宋" w:eastAsia="仿宋"/>
          <w:color w:val="auto"/>
          <w:sz w:val="24"/>
        </w:rPr>
      </w:pPr>
      <w:r>
        <w:rPr>
          <w:rFonts w:hint="eastAsia" w:ascii="仿宋" w:hAnsi="仿宋" w:eastAsia="仿宋"/>
          <w:color w:val="auto"/>
          <w:sz w:val="24"/>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napToGrid w:val="0"/>
        <w:spacing w:line="500" w:lineRule="exact"/>
        <w:ind w:firstLine="482"/>
        <w:rPr>
          <w:rFonts w:ascii="仿宋" w:hAnsi="仿宋" w:eastAsia="仿宋"/>
          <w:color w:val="auto"/>
          <w:sz w:val="24"/>
        </w:rPr>
      </w:pPr>
      <w:r>
        <w:rPr>
          <w:rFonts w:hint="eastAsia" w:ascii="仿宋" w:hAnsi="仿宋" w:eastAsia="仿宋"/>
          <w:color w:val="auto"/>
          <w:sz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500" w:lineRule="exact"/>
        <w:ind w:firstLine="482"/>
        <w:rPr>
          <w:rFonts w:ascii="仿宋" w:hAnsi="仿宋" w:eastAsia="仿宋"/>
          <w:color w:val="auto"/>
          <w:sz w:val="24"/>
        </w:rPr>
      </w:pPr>
      <w:r>
        <w:rPr>
          <w:rFonts w:hint="eastAsia" w:ascii="仿宋" w:hAnsi="仿宋" w:eastAsia="仿宋"/>
          <w:color w:val="auto"/>
          <w:sz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napToGrid w:val="0"/>
        <w:spacing w:line="500" w:lineRule="exact"/>
        <w:ind w:firstLine="482"/>
        <w:rPr>
          <w:rFonts w:ascii="仿宋" w:hAnsi="仿宋" w:eastAsia="仿宋"/>
          <w:color w:val="auto"/>
          <w:sz w:val="24"/>
        </w:rPr>
      </w:pPr>
      <w:r>
        <w:rPr>
          <w:rFonts w:hint="eastAsia" w:ascii="仿宋" w:hAnsi="仿宋" w:eastAsia="仿宋"/>
          <w:color w:val="auto"/>
          <w:sz w:val="24"/>
        </w:rPr>
        <w:t>5.在磋商过程中磋商的任何一方不得向他人透露与磋商有关的技术资料、价格或其他信息。</w:t>
      </w:r>
    </w:p>
    <w:p>
      <w:pPr>
        <w:snapToGrid w:val="0"/>
        <w:spacing w:line="500" w:lineRule="exact"/>
        <w:ind w:firstLine="482"/>
        <w:rPr>
          <w:rFonts w:ascii="仿宋" w:hAnsi="仿宋" w:eastAsia="仿宋"/>
          <w:color w:val="auto"/>
          <w:sz w:val="24"/>
        </w:rPr>
      </w:pPr>
      <w:r>
        <w:rPr>
          <w:rFonts w:hint="eastAsia" w:ascii="仿宋" w:hAnsi="仿宋" w:eastAsia="仿宋"/>
          <w:color w:val="auto"/>
          <w:sz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napToGrid w:val="0"/>
        <w:spacing w:line="500" w:lineRule="exact"/>
        <w:ind w:firstLine="482"/>
        <w:rPr>
          <w:rFonts w:ascii="仿宋" w:hAnsi="仿宋" w:eastAsia="仿宋"/>
          <w:color w:val="auto"/>
          <w:sz w:val="24"/>
        </w:rPr>
      </w:pPr>
      <w:r>
        <w:rPr>
          <w:rFonts w:hint="eastAsia" w:ascii="仿宋" w:hAnsi="仿宋" w:eastAsia="仿宋"/>
          <w:color w:val="auto"/>
          <w:sz w:val="24"/>
        </w:rPr>
        <w:t>7.供应商在磋商时作出的所有书面承诺须由法定代表人或其授权代表签字。</w:t>
      </w:r>
    </w:p>
    <w:p>
      <w:pPr>
        <w:snapToGrid w:val="0"/>
        <w:spacing w:line="500" w:lineRule="exact"/>
        <w:ind w:firstLine="482"/>
        <w:rPr>
          <w:rFonts w:ascii="仿宋" w:hAnsi="仿宋" w:eastAsia="仿宋"/>
          <w:color w:val="auto"/>
          <w:sz w:val="24"/>
        </w:rPr>
      </w:pPr>
      <w:r>
        <w:rPr>
          <w:rFonts w:hint="eastAsia" w:ascii="仿宋" w:hAnsi="仿宋" w:eastAsia="仿宋"/>
          <w:color w:val="auto"/>
          <w:sz w:val="24"/>
        </w:rPr>
        <w:t>8.经磋商确定最后采购需求且磋商结束后，供应商应当按照竞争性磋商文件的变动情况和磋商小组的要求重新提交响应文件或重新做出相关的书面承诺，最后书面提交最后报价及有关承诺（填写《最后报价表》并提交）。</w:t>
      </w:r>
      <w:r>
        <w:rPr>
          <w:rFonts w:ascii="仿宋" w:hAnsi="仿宋" w:eastAsia="仿宋"/>
          <w:color w:val="auto"/>
          <w:sz w:val="24"/>
        </w:rPr>
        <w:t>已提交响应文件</w:t>
      </w:r>
      <w:r>
        <w:rPr>
          <w:rFonts w:hint="eastAsia" w:ascii="仿宋" w:hAnsi="仿宋" w:eastAsia="仿宋"/>
          <w:color w:val="auto"/>
          <w:sz w:val="24"/>
        </w:rPr>
        <w:t>但未在规定时间内进行最后报价</w:t>
      </w:r>
      <w:r>
        <w:rPr>
          <w:rFonts w:ascii="仿宋" w:hAnsi="仿宋" w:eastAsia="仿宋"/>
          <w:color w:val="auto"/>
          <w:sz w:val="24"/>
        </w:rPr>
        <w:t>的供应商，</w:t>
      </w:r>
      <w:r>
        <w:rPr>
          <w:rFonts w:hint="eastAsia" w:ascii="仿宋" w:hAnsi="仿宋" w:eastAsia="仿宋"/>
          <w:color w:val="auto"/>
          <w:sz w:val="24"/>
        </w:rPr>
        <w:t>视为放弃最后报价，以供应商响应文件中的报价为准。</w:t>
      </w:r>
    </w:p>
    <w:p>
      <w:pPr>
        <w:snapToGrid w:val="0"/>
        <w:spacing w:line="500" w:lineRule="exact"/>
        <w:ind w:firstLine="482"/>
        <w:rPr>
          <w:rFonts w:ascii="仿宋" w:hAnsi="仿宋" w:eastAsia="仿宋"/>
          <w:color w:val="auto"/>
          <w:sz w:val="24"/>
        </w:rPr>
      </w:pPr>
      <w:r>
        <w:rPr>
          <w:rFonts w:hint="eastAsia" w:ascii="仿宋" w:hAnsi="仿宋" w:eastAsia="仿宋"/>
          <w:color w:val="auto"/>
          <w:sz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w:t>
      </w:r>
      <w:r>
        <w:rPr>
          <w:rFonts w:ascii="仿宋" w:hAnsi="仿宋" w:eastAsia="仿宋"/>
          <w:color w:val="auto"/>
          <w:sz w:val="24"/>
        </w:rPr>
        <w:t>0</w:t>
      </w:r>
      <w:r>
        <w:rPr>
          <w:rFonts w:hint="eastAsia" w:ascii="仿宋" w:hAnsi="仿宋" w:eastAsia="仿宋"/>
          <w:color w:val="auto"/>
          <w:sz w:val="24"/>
        </w:rPr>
        <w:t>分。（详见评审标准）</w:t>
      </w:r>
    </w:p>
    <w:p>
      <w:pPr>
        <w:snapToGrid w:val="0"/>
        <w:spacing w:line="500" w:lineRule="exact"/>
        <w:ind w:firstLine="482"/>
        <w:rPr>
          <w:rFonts w:ascii="仿宋" w:hAnsi="仿宋" w:eastAsia="仿宋"/>
          <w:color w:val="auto"/>
          <w:sz w:val="24"/>
        </w:rPr>
      </w:pPr>
      <w:r>
        <w:rPr>
          <w:rFonts w:hint="eastAsia" w:ascii="仿宋" w:hAnsi="仿宋" w:eastAsia="仿宋"/>
          <w:color w:val="auto"/>
          <w:sz w:val="24"/>
        </w:rPr>
        <w:t>10.磋商小组各成员独立对每个有效响应的文件进行评价、打分，然后汇总每个供应商每项评分因素的得分，并根据综合评分情况按照评审得分由高到低顺序推荐3名以上入围候选供应商，并编写评审报告。若供应商的评审得分相同的，按照最后报价由低到高的顺序排列推荐。评审得分且最后报价相同的，按照服务指标优劣顺序排列推荐。以上都相同的，按服务条款的优劣顺序排列推荐。</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keepNext/>
        <w:keepLines/>
        <w:snapToGrid w:val="0"/>
        <w:spacing w:line="440" w:lineRule="exact"/>
        <w:ind w:firstLine="281" w:firstLineChars="100"/>
        <w:outlineLvl w:val="1"/>
        <w:rPr>
          <w:rFonts w:ascii="仿宋" w:hAnsi="仿宋" w:eastAsia="仿宋"/>
          <w:b/>
          <w:color w:val="auto"/>
          <w:sz w:val="28"/>
        </w:rPr>
      </w:pPr>
      <w:bookmarkStart w:id="16" w:name="_Toc23172"/>
      <w:r>
        <w:rPr>
          <w:rFonts w:hint="eastAsia" w:ascii="仿宋" w:hAnsi="仿宋" w:eastAsia="仿宋"/>
          <w:b/>
          <w:color w:val="auto"/>
          <w:sz w:val="28"/>
        </w:rPr>
        <w:t>二、评审标准</w:t>
      </w:r>
      <w:bookmarkEnd w:id="16"/>
    </w:p>
    <w:tbl>
      <w:tblPr>
        <w:tblStyle w:val="7"/>
        <w:tblW w:w="9855" w:type="dxa"/>
        <w:tblInd w:w="108" w:type="dxa"/>
        <w:tblLayout w:type="fixed"/>
        <w:tblCellMar>
          <w:top w:w="0" w:type="dxa"/>
          <w:left w:w="0" w:type="dxa"/>
          <w:bottom w:w="0" w:type="dxa"/>
          <w:right w:w="0" w:type="dxa"/>
        </w:tblCellMar>
      </w:tblPr>
      <w:tblGrid>
        <w:gridCol w:w="567"/>
        <w:gridCol w:w="1198"/>
        <w:gridCol w:w="787"/>
        <w:gridCol w:w="4395"/>
        <w:gridCol w:w="2908"/>
      </w:tblGrid>
      <w:tr>
        <w:tblPrEx>
          <w:tblCellMar>
            <w:top w:w="0" w:type="dxa"/>
            <w:left w:w="0" w:type="dxa"/>
            <w:bottom w:w="0" w:type="dxa"/>
            <w:right w:w="0" w:type="dxa"/>
          </w:tblCellMar>
        </w:tblPrEx>
        <w:trPr>
          <w:trHeight w:val="492" w:hRule="atLeast"/>
        </w:trPr>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60" w:lineRule="exact"/>
              <w:ind w:firstLine="28"/>
              <w:jc w:val="center"/>
              <w:rPr>
                <w:rFonts w:ascii="仿宋" w:hAnsi="仿宋" w:eastAsia="仿宋"/>
                <w:color w:val="auto"/>
                <w:sz w:val="24"/>
              </w:rPr>
            </w:pPr>
            <w:r>
              <w:rPr>
                <w:rFonts w:hint="eastAsia" w:ascii="仿宋" w:hAnsi="仿宋" w:eastAsia="仿宋"/>
                <w:b/>
                <w:color w:val="auto"/>
                <w:sz w:val="24"/>
              </w:rPr>
              <w:t>序号</w:t>
            </w:r>
          </w:p>
        </w:tc>
        <w:tc>
          <w:tcPr>
            <w:tcW w:w="11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60" w:lineRule="exact"/>
              <w:ind w:firstLine="28"/>
              <w:jc w:val="center"/>
              <w:rPr>
                <w:rFonts w:ascii="仿宋" w:hAnsi="仿宋" w:eastAsia="仿宋"/>
                <w:color w:val="auto"/>
                <w:sz w:val="24"/>
              </w:rPr>
            </w:pPr>
            <w:r>
              <w:rPr>
                <w:rFonts w:hint="eastAsia" w:ascii="仿宋" w:hAnsi="仿宋" w:eastAsia="仿宋"/>
                <w:b/>
                <w:color w:val="auto"/>
                <w:sz w:val="24"/>
              </w:rPr>
              <w:t>评分因素及权重</w:t>
            </w:r>
          </w:p>
        </w:tc>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60" w:lineRule="exact"/>
              <w:ind w:firstLine="28"/>
              <w:jc w:val="center"/>
              <w:rPr>
                <w:rFonts w:ascii="仿宋" w:hAnsi="仿宋" w:eastAsia="仿宋"/>
                <w:color w:val="auto"/>
                <w:sz w:val="24"/>
              </w:rPr>
            </w:pPr>
            <w:r>
              <w:rPr>
                <w:rFonts w:hint="eastAsia" w:ascii="仿宋" w:hAnsi="仿宋" w:eastAsia="仿宋"/>
                <w:b/>
                <w:color w:val="auto"/>
                <w:sz w:val="24"/>
              </w:rPr>
              <w:t>分值</w:t>
            </w:r>
          </w:p>
        </w:tc>
        <w:tc>
          <w:tcPr>
            <w:tcW w:w="43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60" w:lineRule="exact"/>
              <w:ind w:firstLine="28"/>
              <w:jc w:val="center"/>
              <w:rPr>
                <w:rFonts w:ascii="仿宋" w:hAnsi="仿宋" w:eastAsia="仿宋"/>
                <w:color w:val="auto"/>
                <w:sz w:val="24"/>
              </w:rPr>
            </w:pPr>
            <w:r>
              <w:rPr>
                <w:rFonts w:hint="eastAsia" w:ascii="仿宋" w:hAnsi="仿宋" w:eastAsia="仿宋"/>
                <w:b/>
                <w:color w:val="auto"/>
                <w:sz w:val="24"/>
              </w:rPr>
              <w:t>评分标准</w:t>
            </w:r>
          </w:p>
        </w:tc>
        <w:tc>
          <w:tcPr>
            <w:tcW w:w="2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60" w:lineRule="exact"/>
              <w:jc w:val="center"/>
              <w:rPr>
                <w:rFonts w:ascii="仿宋" w:hAnsi="仿宋" w:eastAsia="仿宋"/>
                <w:b/>
                <w:color w:val="auto"/>
                <w:sz w:val="24"/>
              </w:rPr>
            </w:pPr>
            <w:r>
              <w:rPr>
                <w:rFonts w:hint="eastAsia" w:ascii="仿宋" w:hAnsi="仿宋" w:eastAsia="仿宋"/>
                <w:b/>
                <w:color w:val="auto"/>
                <w:sz w:val="24"/>
              </w:rPr>
              <w:t>说明</w:t>
            </w:r>
          </w:p>
        </w:tc>
      </w:tr>
      <w:tr>
        <w:tblPrEx>
          <w:tblCellMar>
            <w:top w:w="0" w:type="dxa"/>
            <w:left w:w="0" w:type="dxa"/>
            <w:bottom w:w="0" w:type="dxa"/>
            <w:right w:w="0" w:type="dxa"/>
          </w:tblCellMar>
        </w:tblPrEx>
        <w:trPr>
          <w:trHeight w:val="1125" w:hRule="atLeast"/>
        </w:trPr>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jc w:val="center"/>
              <w:rPr>
                <w:rFonts w:ascii="仿宋" w:hAnsi="仿宋" w:eastAsia="仿宋"/>
                <w:color w:val="auto"/>
                <w:sz w:val="24"/>
              </w:rPr>
            </w:pPr>
            <w:r>
              <w:rPr>
                <w:rFonts w:hint="eastAsia" w:ascii="仿宋" w:hAnsi="仿宋" w:eastAsia="仿宋"/>
                <w:color w:val="auto"/>
                <w:sz w:val="24"/>
              </w:rPr>
              <w:t>1</w:t>
            </w:r>
          </w:p>
        </w:tc>
        <w:tc>
          <w:tcPr>
            <w:tcW w:w="11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jc w:val="center"/>
              <w:rPr>
                <w:rFonts w:ascii="仿宋" w:hAnsi="仿宋" w:eastAsia="仿宋"/>
                <w:color w:val="auto"/>
                <w:sz w:val="24"/>
              </w:rPr>
            </w:pPr>
            <w:r>
              <w:rPr>
                <w:rFonts w:hint="eastAsia" w:ascii="仿宋" w:hAnsi="仿宋" w:eastAsia="仿宋"/>
                <w:color w:val="auto"/>
                <w:sz w:val="24"/>
              </w:rPr>
              <w:t>磋商报价</w:t>
            </w:r>
          </w:p>
          <w:p>
            <w:pPr>
              <w:widowControl/>
              <w:snapToGrid w:val="0"/>
              <w:spacing w:line="400" w:lineRule="exact"/>
              <w:jc w:val="center"/>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20</w:t>
            </w:r>
            <w:r>
              <w:rPr>
                <w:rFonts w:hint="eastAsia" w:ascii="仿宋" w:hAnsi="仿宋" w:eastAsia="仿宋"/>
                <w:color w:val="auto"/>
                <w:sz w:val="24"/>
              </w:rPr>
              <w:t>%）</w:t>
            </w:r>
          </w:p>
        </w:tc>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jc w:val="center"/>
              <w:rPr>
                <w:rFonts w:ascii="仿宋" w:hAnsi="仿宋" w:eastAsia="仿宋"/>
                <w:color w:val="auto"/>
                <w:sz w:val="24"/>
              </w:rPr>
            </w:pPr>
            <w:r>
              <w:rPr>
                <w:rFonts w:ascii="仿宋" w:hAnsi="仿宋" w:eastAsia="仿宋"/>
                <w:color w:val="auto"/>
                <w:sz w:val="24"/>
              </w:rPr>
              <w:t>20</w:t>
            </w:r>
            <w:r>
              <w:rPr>
                <w:rFonts w:hint="eastAsia" w:ascii="仿宋" w:hAnsi="仿宋" w:eastAsia="仿宋"/>
                <w:color w:val="auto"/>
                <w:sz w:val="24"/>
              </w:rPr>
              <w:t>分</w:t>
            </w:r>
          </w:p>
        </w:tc>
        <w:tc>
          <w:tcPr>
            <w:tcW w:w="73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80" w:lineRule="exact"/>
              <w:rPr>
                <w:rFonts w:ascii="仿宋" w:hAnsi="仿宋" w:eastAsia="仿宋"/>
                <w:color w:val="auto"/>
                <w:sz w:val="24"/>
              </w:rPr>
            </w:pPr>
            <w:r>
              <w:rPr>
                <w:rFonts w:hint="eastAsia" w:ascii="仿宋" w:hAnsi="仿宋" w:eastAsia="仿宋"/>
                <w:color w:val="auto"/>
                <w:sz w:val="24"/>
              </w:rPr>
              <w:t>有效的磋商报价中的最低价为评标基准价，按照下列公式计算每个供应商的投标价格得分。</w:t>
            </w:r>
          </w:p>
          <w:p>
            <w:pPr>
              <w:snapToGrid w:val="0"/>
              <w:spacing w:line="380" w:lineRule="exact"/>
              <w:ind w:left="-38"/>
              <w:rPr>
                <w:rFonts w:ascii="仿宋" w:hAnsi="仿宋" w:eastAsia="仿宋"/>
                <w:color w:val="auto"/>
                <w:sz w:val="24"/>
              </w:rPr>
            </w:pPr>
            <w:r>
              <w:rPr>
                <w:rFonts w:hint="eastAsia" w:ascii="仿宋" w:hAnsi="仿宋" w:eastAsia="仿宋"/>
                <w:color w:val="auto"/>
                <w:sz w:val="24"/>
              </w:rPr>
              <w:t>投标报价得分＝（评标基准价/磋商报价）×价格权重×100。</w:t>
            </w:r>
          </w:p>
        </w:tc>
      </w:tr>
      <w:tr>
        <w:tblPrEx>
          <w:tblCellMar>
            <w:top w:w="0" w:type="dxa"/>
            <w:left w:w="0" w:type="dxa"/>
            <w:bottom w:w="0" w:type="dxa"/>
            <w:right w:w="0" w:type="dxa"/>
          </w:tblCellMar>
        </w:tblPrEx>
        <w:trPr>
          <w:trHeight w:val="1724" w:hRule="atLeast"/>
        </w:trPr>
        <w:tc>
          <w:tcPr>
            <w:tcW w:w="56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jc w:val="center"/>
              <w:rPr>
                <w:rFonts w:ascii="仿宋" w:hAnsi="仿宋" w:eastAsia="仿宋"/>
                <w:color w:val="auto"/>
                <w:sz w:val="24"/>
              </w:rPr>
            </w:pPr>
            <w:r>
              <w:rPr>
                <w:rFonts w:hint="eastAsia" w:ascii="仿宋" w:hAnsi="仿宋" w:eastAsia="仿宋"/>
                <w:color w:val="auto"/>
                <w:sz w:val="24"/>
              </w:rPr>
              <w:t>2</w:t>
            </w:r>
          </w:p>
          <w:p>
            <w:pPr>
              <w:widowControl/>
              <w:snapToGrid w:val="0"/>
              <w:spacing w:line="400" w:lineRule="exact"/>
              <w:jc w:val="center"/>
              <w:rPr>
                <w:rFonts w:ascii="仿宋" w:hAnsi="仿宋" w:eastAsia="仿宋"/>
                <w:color w:val="auto"/>
                <w:sz w:val="24"/>
              </w:rPr>
            </w:pPr>
          </w:p>
          <w:p>
            <w:pPr>
              <w:widowControl/>
              <w:snapToGrid w:val="0"/>
              <w:spacing w:line="400" w:lineRule="exact"/>
              <w:jc w:val="center"/>
              <w:rPr>
                <w:rFonts w:eastAsia="宋体"/>
                <w:color w:val="auto"/>
              </w:rPr>
            </w:pPr>
          </w:p>
          <w:p>
            <w:pPr>
              <w:widowControl/>
              <w:snapToGrid w:val="0"/>
              <w:spacing w:line="400" w:lineRule="exact"/>
              <w:jc w:val="center"/>
              <w:rPr>
                <w:color w:val="auto"/>
              </w:rPr>
            </w:pPr>
          </w:p>
        </w:tc>
        <w:tc>
          <w:tcPr>
            <w:tcW w:w="119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jc w:val="center"/>
              <w:rPr>
                <w:rFonts w:ascii="仿宋" w:hAnsi="仿宋" w:eastAsia="仿宋"/>
                <w:color w:val="auto"/>
                <w:sz w:val="24"/>
              </w:rPr>
            </w:pPr>
            <w:r>
              <w:rPr>
                <w:rFonts w:hint="eastAsia" w:ascii="仿宋" w:hAnsi="仿宋" w:eastAsia="仿宋"/>
                <w:color w:val="auto"/>
                <w:sz w:val="24"/>
              </w:rPr>
              <w:t>服务方案</w:t>
            </w:r>
          </w:p>
          <w:p>
            <w:pPr>
              <w:widowControl/>
              <w:snapToGrid w:val="0"/>
              <w:spacing w:line="400" w:lineRule="exact"/>
              <w:jc w:val="center"/>
              <w:rPr>
                <w:rFonts w:ascii="仿宋" w:hAnsi="仿宋" w:eastAsia="仿宋"/>
                <w:color w:val="auto"/>
                <w:sz w:val="24"/>
              </w:rPr>
            </w:pPr>
            <w:r>
              <w:rPr>
                <w:rFonts w:hint="eastAsia" w:ascii="仿宋" w:hAnsi="仿宋" w:eastAsia="仿宋"/>
                <w:color w:val="auto"/>
                <w:sz w:val="24"/>
              </w:rPr>
              <w:t>（60%）</w:t>
            </w:r>
          </w:p>
          <w:p>
            <w:pPr>
              <w:widowControl/>
              <w:snapToGrid w:val="0"/>
              <w:spacing w:line="400" w:lineRule="exact"/>
              <w:jc w:val="center"/>
              <w:rPr>
                <w:rFonts w:ascii="仿宋" w:hAnsi="仿宋" w:eastAsia="仿宋"/>
                <w:color w:val="auto"/>
                <w:sz w:val="24"/>
              </w:rPr>
            </w:pPr>
          </w:p>
          <w:p>
            <w:pPr>
              <w:widowControl/>
              <w:snapToGrid w:val="0"/>
              <w:spacing w:line="400" w:lineRule="exact"/>
              <w:jc w:val="center"/>
              <w:rPr>
                <w:rFonts w:eastAsia="宋体"/>
                <w:color w:val="auto"/>
              </w:rPr>
            </w:pPr>
          </w:p>
          <w:p>
            <w:pPr>
              <w:widowControl/>
              <w:snapToGrid w:val="0"/>
              <w:spacing w:line="400" w:lineRule="exact"/>
              <w:jc w:val="center"/>
              <w:rPr>
                <w:color w:val="auto"/>
              </w:rPr>
            </w:pPr>
          </w:p>
        </w:tc>
        <w:tc>
          <w:tcPr>
            <w:tcW w:w="787"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widowControl/>
              <w:snapToGrid w:val="0"/>
              <w:spacing w:line="400" w:lineRule="exact"/>
              <w:rPr>
                <w:rFonts w:ascii="仿宋" w:hAnsi="仿宋" w:eastAsia="仿宋"/>
                <w:color w:val="auto"/>
                <w:sz w:val="24"/>
              </w:rPr>
            </w:pPr>
            <w:r>
              <w:rPr>
                <w:rFonts w:hint="eastAsia" w:ascii="仿宋" w:hAnsi="仿宋" w:eastAsia="仿宋"/>
                <w:color w:val="auto"/>
                <w:sz w:val="24"/>
              </w:rPr>
              <w:t>10分</w:t>
            </w:r>
          </w:p>
        </w:tc>
        <w:tc>
          <w:tcPr>
            <w:tcW w:w="4395"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pacing w:line="380" w:lineRule="exact"/>
              <w:jc w:val="left"/>
              <w:rPr>
                <w:rFonts w:ascii="仿宋" w:hAnsi="仿宋" w:eastAsia="仿宋"/>
                <w:color w:val="auto"/>
                <w:sz w:val="24"/>
              </w:rPr>
            </w:pPr>
            <w:r>
              <w:rPr>
                <w:rFonts w:hint="eastAsia" w:ascii="仿宋" w:hAnsi="仿宋" w:eastAsia="仿宋"/>
                <w:color w:val="auto"/>
                <w:sz w:val="24"/>
              </w:rPr>
              <w:t>【重庆主题展馆主题符合度】（0-10分）</w:t>
            </w:r>
          </w:p>
          <w:p>
            <w:pPr>
              <w:spacing w:line="380" w:lineRule="exact"/>
              <w:jc w:val="left"/>
              <w:rPr>
                <w:rFonts w:ascii="仿宋" w:hAnsi="仿宋" w:eastAsia="仿宋"/>
                <w:color w:val="auto"/>
                <w:sz w:val="24"/>
              </w:rPr>
            </w:pPr>
            <w:r>
              <w:rPr>
                <w:rFonts w:hint="eastAsia" w:ascii="仿宋" w:hAnsi="仿宋" w:eastAsia="仿宋"/>
                <w:color w:val="auto"/>
                <w:sz w:val="24"/>
              </w:rPr>
              <w:t>设计主题应体现本次住博会川渝两地高品质生活宜居地建设成果，呈现川渝住房城乡建设科技水平，展馆风格要呈现川渝特色，真正体现“</w:t>
            </w:r>
            <w:r>
              <w:rPr>
                <w:rFonts w:ascii="仿宋" w:hAnsi="仿宋" w:eastAsia="仿宋"/>
                <w:color w:val="auto"/>
                <w:sz w:val="24"/>
              </w:rPr>
              <w:t>川渝合作 共建高品质生活宜居地</w:t>
            </w:r>
            <w:r>
              <w:rPr>
                <w:rFonts w:hint="eastAsia" w:ascii="仿宋" w:hAnsi="仿宋" w:eastAsia="仿宋"/>
                <w:color w:val="auto"/>
                <w:sz w:val="24"/>
              </w:rPr>
              <w:t>”的展会主题。</w:t>
            </w:r>
          </w:p>
          <w:p>
            <w:pPr>
              <w:widowControl/>
              <w:snapToGrid w:val="0"/>
              <w:spacing w:line="380" w:lineRule="exact"/>
              <w:rPr>
                <w:rFonts w:ascii="仿宋" w:hAnsi="仿宋" w:eastAsia="仿宋"/>
                <w:color w:val="auto"/>
                <w:sz w:val="24"/>
              </w:rPr>
            </w:pPr>
            <w:r>
              <w:rPr>
                <w:rFonts w:hint="eastAsia" w:ascii="仿宋" w:hAnsi="仿宋" w:eastAsia="仿宋"/>
                <w:color w:val="auto"/>
                <w:sz w:val="24"/>
              </w:rPr>
              <w:t>优得7-10分，良得4-7分，一般得1-4分，差得0-1分；未提供得0分。</w:t>
            </w:r>
          </w:p>
        </w:tc>
        <w:tc>
          <w:tcPr>
            <w:tcW w:w="290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rPr>
                <w:rFonts w:ascii="仿宋" w:hAnsi="仿宋" w:eastAsia="仿宋"/>
                <w:color w:val="auto"/>
                <w:sz w:val="24"/>
              </w:rPr>
            </w:pPr>
            <w:r>
              <w:rPr>
                <w:rFonts w:hint="eastAsia" w:ascii="仿宋" w:hAnsi="仿宋" w:eastAsia="仿宋"/>
                <w:color w:val="auto"/>
                <w:sz w:val="24"/>
              </w:rPr>
              <w:t>供应商应根据递交的</w:t>
            </w:r>
            <w:r>
              <w:rPr>
                <w:rFonts w:hint="eastAsia" w:ascii="仿宋" w:hAnsi="仿宋" w:eastAsia="仿宋"/>
                <w:color w:val="auto"/>
                <w:sz w:val="24"/>
                <w:lang w:val="en-US" w:eastAsia="zh-CN"/>
              </w:rPr>
              <w:t>设计</w:t>
            </w:r>
            <w:r>
              <w:rPr>
                <w:rFonts w:hint="eastAsia" w:ascii="仿宋" w:hAnsi="仿宋" w:eastAsia="仿宋"/>
                <w:color w:val="auto"/>
                <w:sz w:val="24"/>
              </w:rPr>
              <w:t>方案制作PPT供现场演示述标，演示设备自备，述标时间不超过20分钟。</w:t>
            </w:r>
          </w:p>
          <w:p>
            <w:pPr>
              <w:widowControl/>
              <w:snapToGrid w:val="0"/>
              <w:spacing w:line="400" w:lineRule="exact"/>
              <w:rPr>
                <w:rFonts w:ascii="仿宋" w:hAnsi="仿宋" w:eastAsia="仿宋"/>
                <w:color w:val="auto"/>
                <w:sz w:val="24"/>
              </w:rPr>
            </w:pPr>
            <w:r>
              <w:rPr>
                <w:rFonts w:hint="eastAsia" w:ascii="仿宋" w:hAnsi="仿宋" w:eastAsia="仿宋"/>
                <w:color w:val="auto"/>
                <w:sz w:val="24"/>
              </w:rPr>
              <w:t>磋商小组根据供应商递交的服务方案</w:t>
            </w:r>
            <w:r>
              <w:rPr>
                <w:rFonts w:hint="eastAsia" w:ascii="仿宋" w:hAnsi="仿宋" w:eastAsia="仿宋"/>
                <w:color w:val="auto"/>
                <w:sz w:val="24"/>
                <w:lang w:val="en-US" w:eastAsia="zh-CN"/>
              </w:rPr>
              <w:t>并结合</w:t>
            </w:r>
            <w:r>
              <w:rPr>
                <w:rFonts w:hint="eastAsia" w:ascii="仿宋" w:hAnsi="仿宋" w:eastAsia="仿宋"/>
                <w:color w:val="auto"/>
                <w:sz w:val="24"/>
              </w:rPr>
              <w:t>现场述标情况进行评分。</w:t>
            </w:r>
          </w:p>
          <w:p>
            <w:pPr>
              <w:widowControl/>
              <w:snapToGrid w:val="0"/>
              <w:spacing w:line="400" w:lineRule="exact"/>
              <w:rPr>
                <w:rFonts w:ascii="仿宋" w:hAnsi="仿宋" w:eastAsia="仿宋"/>
                <w:color w:val="auto"/>
                <w:sz w:val="24"/>
              </w:rPr>
            </w:pPr>
            <w:r>
              <w:rPr>
                <w:rFonts w:hint="eastAsia" w:ascii="仿宋" w:hAnsi="仿宋" w:eastAsia="仿宋"/>
                <w:b/>
                <w:color w:val="auto"/>
                <w:sz w:val="24"/>
              </w:rPr>
              <w:t>优标准：</w:t>
            </w:r>
            <w:r>
              <w:rPr>
                <w:rFonts w:hint="eastAsia" w:ascii="仿宋" w:hAnsi="仿宋" w:eastAsia="仿宋"/>
                <w:color w:val="auto"/>
                <w:sz w:val="24"/>
              </w:rPr>
              <w:t>方案内容完整，科学合理，可操作性强，符合项目实际情况；</w:t>
            </w:r>
          </w:p>
          <w:p>
            <w:pPr>
              <w:widowControl/>
              <w:snapToGrid w:val="0"/>
              <w:spacing w:line="400" w:lineRule="exact"/>
              <w:rPr>
                <w:rFonts w:ascii="仿宋" w:hAnsi="仿宋" w:eastAsia="仿宋"/>
                <w:color w:val="auto"/>
                <w:sz w:val="24"/>
              </w:rPr>
            </w:pPr>
            <w:r>
              <w:rPr>
                <w:rFonts w:hint="eastAsia" w:ascii="仿宋" w:hAnsi="仿宋" w:eastAsia="仿宋"/>
                <w:b/>
                <w:color w:val="auto"/>
                <w:sz w:val="24"/>
              </w:rPr>
              <w:t>良标准：</w:t>
            </w:r>
            <w:r>
              <w:rPr>
                <w:rFonts w:hint="eastAsia" w:ascii="仿宋" w:hAnsi="仿宋" w:eastAsia="仿宋"/>
                <w:color w:val="auto"/>
                <w:sz w:val="24"/>
              </w:rPr>
              <w:t>方案内容较完整，较科学合理，可操作性较强，较符合项目实际情况；</w:t>
            </w:r>
          </w:p>
          <w:p>
            <w:pPr>
              <w:widowControl/>
              <w:snapToGrid w:val="0"/>
              <w:spacing w:line="400" w:lineRule="exact"/>
              <w:rPr>
                <w:rFonts w:ascii="仿宋" w:hAnsi="仿宋" w:eastAsia="仿宋"/>
                <w:color w:val="auto"/>
                <w:sz w:val="24"/>
              </w:rPr>
            </w:pPr>
            <w:r>
              <w:rPr>
                <w:rFonts w:hint="eastAsia" w:ascii="仿宋" w:hAnsi="仿宋" w:eastAsia="仿宋"/>
                <w:b/>
                <w:color w:val="auto"/>
                <w:sz w:val="24"/>
              </w:rPr>
              <w:t>一般标准：</w:t>
            </w:r>
            <w:r>
              <w:rPr>
                <w:rFonts w:hint="eastAsia" w:ascii="仿宋" w:hAnsi="仿宋" w:eastAsia="仿宋"/>
                <w:color w:val="auto"/>
                <w:sz w:val="24"/>
              </w:rPr>
              <w:t>方案内容基本完整，基本科学合理，可操作性一般，基本符合项目实际情况；</w:t>
            </w:r>
          </w:p>
          <w:p>
            <w:pPr>
              <w:widowControl/>
              <w:snapToGrid w:val="0"/>
              <w:spacing w:line="400" w:lineRule="exact"/>
              <w:rPr>
                <w:color w:val="auto"/>
              </w:rPr>
            </w:pPr>
            <w:r>
              <w:rPr>
                <w:rFonts w:hint="eastAsia" w:ascii="仿宋" w:hAnsi="仿宋" w:eastAsia="仿宋"/>
                <w:b/>
                <w:color w:val="auto"/>
                <w:sz w:val="24"/>
              </w:rPr>
              <w:t>差标准：</w:t>
            </w:r>
            <w:r>
              <w:rPr>
                <w:rFonts w:hint="eastAsia" w:ascii="仿宋" w:hAnsi="仿宋" w:eastAsia="仿宋"/>
                <w:color w:val="auto"/>
                <w:sz w:val="24"/>
              </w:rPr>
              <w:t>方案内容不完整性，科学合理性较差，可操作性较差，方案内容与项目实际情况不符。</w:t>
            </w:r>
          </w:p>
        </w:tc>
      </w:tr>
      <w:tr>
        <w:tblPrEx>
          <w:tblCellMar>
            <w:top w:w="0" w:type="dxa"/>
            <w:left w:w="0" w:type="dxa"/>
            <w:bottom w:w="0" w:type="dxa"/>
            <w:right w:w="0" w:type="dxa"/>
          </w:tblCellMar>
        </w:tblPrEx>
        <w:trPr>
          <w:trHeight w:val="2086" w:hRule="atLeast"/>
        </w:trPr>
        <w:tc>
          <w:tcPr>
            <w:tcW w:w="567"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jc w:val="center"/>
              <w:rPr>
                <w:color w:val="auto"/>
              </w:rPr>
            </w:pPr>
          </w:p>
        </w:tc>
        <w:tc>
          <w:tcPr>
            <w:tcW w:w="1198"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jc w:val="center"/>
              <w:rPr>
                <w:color w:val="auto"/>
              </w:rPr>
            </w:pPr>
          </w:p>
        </w:tc>
        <w:tc>
          <w:tcPr>
            <w:tcW w:w="787"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rPr>
                <w:rFonts w:ascii="仿宋" w:hAnsi="仿宋" w:eastAsia="仿宋"/>
                <w:color w:val="auto"/>
                <w:sz w:val="24"/>
              </w:rPr>
            </w:pPr>
            <w:r>
              <w:rPr>
                <w:rFonts w:hint="eastAsia" w:ascii="仿宋" w:hAnsi="仿宋" w:eastAsia="仿宋"/>
                <w:color w:val="auto"/>
                <w:sz w:val="24"/>
              </w:rPr>
              <w:t>10分</w:t>
            </w:r>
          </w:p>
        </w:tc>
        <w:tc>
          <w:tcPr>
            <w:tcW w:w="4395"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80" w:lineRule="exact"/>
              <w:rPr>
                <w:rFonts w:ascii="仿宋" w:hAnsi="仿宋" w:eastAsia="仿宋"/>
                <w:color w:val="auto"/>
                <w:sz w:val="24"/>
              </w:rPr>
            </w:pPr>
            <w:r>
              <w:rPr>
                <w:rFonts w:hint="eastAsia" w:ascii="仿宋" w:hAnsi="仿宋" w:eastAsia="仿宋"/>
                <w:color w:val="auto"/>
                <w:sz w:val="24"/>
              </w:rPr>
              <w:t>【序馆主题符合度】（0-10分）</w:t>
            </w:r>
          </w:p>
          <w:p>
            <w:pPr>
              <w:spacing w:line="380" w:lineRule="exact"/>
              <w:jc w:val="left"/>
              <w:rPr>
                <w:rFonts w:ascii="仿宋" w:hAnsi="仿宋" w:eastAsia="仿宋"/>
                <w:color w:val="auto"/>
                <w:sz w:val="24"/>
              </w:rPr>
            </w:pPr>
            <w:r>
              <w:rPr>
                <w:rFonts w:hint="eastAsia" w:ascii="仿宋" w:hAnsi="仿宋" w:eastAsia="仿宋"/>
                <w:color w:val="auto"/>
                <w:sz w:val="24"/>
              </w:rPr>
              <w:t>设计主题应体现本次住博会川渝两地高品质生活宜居地建设成果，呈现川渝住房城乡建设科技水平，展馆风格要呈现川渝特色，真正体现“</w:t>
            </w:r>
            <w:r>
              <w:rPr>
                <w:rFonts w:ascii="仿宋" w:hAnsi="仿宋" w:eastAsia="仿宋"/>
                <w:color w:val="auto"/>
                <w:sz w:val="24"/>
              </w:rPr>
              <w:t>川渝合作 共建高品质生活宜居地</w:t>
            </w:r>
            <w:r>
              <w:rPr>
                <w:rFonts w:hint="eastAsia" w:ascii="仿宋" w:hAnsi="仿宋" w:eastAsia="仿宋"/>
                <w:color w:val="auto"/>
                <w:sz w:val="24"/>
              </w:rPr>
              <w:t>”的展会主题。</w:t>
            </w:r>
          </w:p>
          <w:p>
            <w:pPr>
              <w:widowControl/>
              <w:snapToGrid w:val="0"/>
              <w:spacing w:line="380" w:lineRule="exact"/>
              <w:rPr>
                <w:rFonts w:ascii="仿宋" w:hAnsi="仿宋" w:eastAsia="仿宋"/>
                <w:color w:val="auto"/>
                <w:sz w:val="24"/>
              </w:rPr>
            </w:pPr>
            <w:r>
              <w:rPr>
                <w:rFonts w:hint="eastAsia" w:ascii="仿宋" w:hAnsi="仿宋" w:eastAsia="仿宋"/>
                <w:color w:val="auto"/>
                <w:sz w:val="24"/>
              </w:rPr>
              <w:t>优得7-10分，良得4-7分，一般得1-4分，差得0-1分；未提供得0分。</w:t>
            </w:r>
          </w:p>
        </w:tc>
        <w:tc>
          <w:tcPr>
            <w:tcW w:w="2908" w:type="dxa"/>
            <w:vMerge w:val="continue"/>
            <w:tcBorders>
              <w:left w:val="single" w:color="000000" w:sz="4" w:space="0"/>
              <w:right w:val="single" w:color="000000" w:sz="4" w:space="0"/>
            </w:tcBorders>
            <w:tcMar>
              <w:top w:w="0" w:type="dxa"/>
              <w:left w:w="108" w:type="dxa"/>
              <w:bottom w:w="0" w:type="dxa"/>
              <w:right w:w="108" w:type="dxa"/>
            </w:tcMar>
          </w:tcPr>
          <w:p>
            <w:pPr>
              <w:widowControl/>
              <w:snapToGrid w:val="0"/>
              <w:spacing w:line="400" w:lineRule="exact"/>
              <w:rPr>
                <w:rFonts w:ascii="仿宋" w:hAnsi="仿宋" w:eastAsia="仿宋"/>
                <w:b/>
                <w:color w:val="auto"/>
                <w:sz w:val="24"/>
              </w:rPr>
            </w:pPr>
          </w:p>
        </w:tc>
      </w:tr>
      <w:tr>
        <w:tblPrEx>
          <w:tblCellMar>
            <w:top w:w="0" w:type="dxa"/>
            <w:left w:w="0" w:type="dxa"/>
            <w:bottom w:w="0" w:type="dxa"/>
            <w:right w:w="0" w:type="dxa"/>
          </w:tblCellMar>
        </w:tblPrEx>
        <w:trPr>
          <w:trHeight w:val="1774" w:hRule="atLeast"/>
        </w:trPr>
        <w:tc>
          <w:tcPr>
            <w:tcW w:w="56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rPr>
                <w:color w:val="auto"/>
              </w:rPr>
            </w:pPr>
          </w:p>
        </w:tc>
        <w:tc>
          <w:tcPr>
            <w:tcW w:w="119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rPr>
                <w:color w:val="auto"/>
              </w:rPr>
            </w:pPr>
          </w:p>
        </w:tc>
        <w:tc>
          <w:tcPr>
            <w:tcW w:w="787"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widowControl/>
              <w:snapToGrid w:val="0"/>
              <w:spacing w:line="400" w:lineRule="exact"/>
              <w:rPr>
                <w:rFonts w:ascii="仿宋" w:hAnsi="仿宋" w:eastAsia="仿宋"/>
                <w:color w:val="auto"/>
                <w:sz w:val="24"/>
              </w:rPr>
            </w:pPr>
            <w:r>
              <w:rPr>
                <w:rFonts w:hint="eastAsia" w:ascii="仿宋" w:hAnsi="仿宋" w:eastAsia="仿宋"/>
                <w:color w:val="auto"/>
                <w:sz w:val="24"/>
              </w:rPr>
              <w:t>10分</w:t>
            </w:r>
          </w:p>
          <w:p>
            <w:pPr>
              <w:widowControl/>
              <w:snapToGrid w:val="0"/>
              <w:spacing w:line="400" w:lineRule="exact"/>
              <w:jc w:val="center"/>
              <w:rPr>
                <w:color w:val="auto"/>
              </w:rPr>
            </w:pPr>
          </w:p>
        </w:tc>
        <w:tc>
          <w:tcPr>
            <w:tcW w:w="4395"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widowControl/>
              <w:snapToGrid w:val="0"/>
              <w:spacing w:line="380" w:lineRule="exact"/>
              <w:rPr>
                <w:rFonts w:ascii="仿宋" w:hAnsi="仿宋" w:eastAsia="仿宋"/>
                <w:color w:val="auto"/>
                <w:sz w:val="24"/>
              </w:rPr>
            </w:pPr>
            <w:r>
              <w:rPr>
                <w:rFonts w:hint="eastAsia" w:ascii="仿宋" w:hAnsi="仿宋" w:eastAsia="仿宋"/>
                <w:color w:val="auto"/>
                <w:sz w:val="24"/>
              </w:rPr>
              <w:t>【重庆主题展馆设计方案】（0-10分）</w:t>
            </w:r>
          </w:p>
          <w:p>
            <w:pPr>
              <w:widowControl/>
              <w:snapToGrid w:val="0"/>
              <w:spacing w:line="380" w:lineRule="exact"/>
              <w:rPr>
                <w:rFonts w:ascii="仿宋" w:hAnsi="仿宋" w:eastAsia="仿宋"/>
                <w:color w:val="auto"/>
                <w:sz w:val="24"/>
              </w:rPr>
            </w:pPr>
            <w:r>
              <w:rPr>
                <w:rFonts w:hint="eastAsia" w:ascii="仿宋" w:hAnsi="仿宋" w:eastAsia="仿宋"/>
                <w:color w:val="auto"/>
                <w:sz w:val="24"/>
              </w:rPr>
              <w:t>供应商依据项目需求，提供设计方案，展馆设计方案</w:t>
            </w:r>
            <w:r>
              <w:rPr>
                <w:rFonts w:ascii="仿宋" w:hAnsi="仿宋" w:eastAsia="仿宋"/>
                <w:color w:val="auto"/>
                <w:sz w:val="24"/>
              </w:rPr>
              <w:t>创意新颖，</w:t>
            </w:r>
            <w:r>
              <w:rPr>
                <w:rFonts w:hint="eastAsia" w:ascii="仿宋" w:hAnsi="仿宋" w:eastAsia="仿宋"/>
                <w:color w:val="auto"/>
                <w:sz w:val="24"/>
              </w:rPr>
              <w:t>造型美观大方</w:t>
            </w:r>
            <w:r>
              <w:rPr>
                <w:rFonts w:ascii="仿宋" w:hAnsi="仿宋" w:eastAsia="仿宋"/>
                <w:color w:val="auto"/>
                <w:sz w:val="24"/>
              </w:rPr>
              <w:t>，展示布局科学合理，内部设计色调与外观主色调协调美观，观展动线设计合理、通畅</w:t>
            </w:r>
            <w:r>
              <w:rPr>
                <w:rFonts w:hint="eastAsia" w:ascii="仿宋" w:hAnsi="仿宋" w:eastAsia="仿宋"/>
                <w:color w:val="auto"/>
                <w:sz w:val="24"/>
              </w:rPr>
              <w:t>，</w:t>
            </w:r>
            <w:r>
              <w:rPr>
                <w:rFonts w:ascii="仿宋" w:hAnsi="仿宋" w:eastAsia="仿宋"/>
                <w:color w:val="auto"/>
                <w:sz w:val="24"/>
              </w:rPr>
              <w:t>观众体验感强</w:t>
            </w:r>
            <w:r>
              <w:rPr>
                <w:rFonts w:hint="eastAsia" w:ascii="仿宋" w:hAnsi="仿宋" w:eastAsia="仿宋"/>
                <w:color w:val="auto"/>
                <w:sz w:val="24"/>
              </w:rPr>
              <w:t>。</w:t>
            </w:r>
          </w:p>
          <w:p>
            <w:pPr>
              <w:widowControl/>
              <w:snapToGrid w:val="0"/>
              <w:spacing w:line="380" w:lineRule="exact"/>
              <w:rPr>
                <w:rFonts w:ascii="仿宋" w:hAnsi="仿宋" w:eastAsia="仿宋"/>
                <w:color w:val="auto"/>
                <w:sz w:val="24"/>
              </w:rPr>
            </w:pPr>
            <w:r>
              <w:rPr>
                <w:rFonts w:hint="eastAsia" w:ascii="仿宋" w:hAnsi="仿宋" w:eastAsia="仿宋"/>
                <w:color w:val="auto"/>
                <w:sz w:val="24"/>
              </w:rPr>
              <w:t>优得7-10分，良得4-7分，一般得1-4分，差得0-1分；未提供得0分。</w:t>
            </w:r>
          </w:p>
        </w:tc>
        <w:tc>
          <w:tcPr>
            <w:tcW w:w="290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rPr>
                <w:color w:val="auto"/>
              </w:rPr>
            </w:pPr>
          </w:p>
        </w:tc>
      </w:tr>
      <w:tr>
        <w:tblPrEx>
          <w:tblCellMar>
            <w:top w:w="0" w:type="dxa"/>
            <w:left w:w="0" w:type="dxa"/>
            <w:bottom w:w="0" w:type="dxa"/>
            <w:right w:w="0" w:type="dxa"/>
          </w:tblCellMar>
        </w:tblPrEx>
        <w:trPr>
          <w:trHeight w:val="1276" w:hRule="atLeast"/>
        </w:trPr>
        <w:tc>
          <w:tcPr>
            <w:tcW w:w="56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rPr>
                <w:color w:val="auto"/>
              </w:rPr>
            </w:pPr>
          </w:p>
        </w:tc>
        <w:tc>
          <w:tcPr>
            <w:tcW w:w="119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rPr>
                <w:color w:val="auto"/>
              </w:rPr>
            </w:pPr>
          </w:p>
        </w:tc>
        <w:tc>
          <w:tcPr>
            <w:tcW w:w="787"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rPr>
                <w:rFonts w:ascii="仿宋" w:hAnsi="仿宋" w:eastAsia="仿宋"/>
                <w:color w:val="auto"/>
                <w:sz w:val="24"/>
              </w:rPr>
            </w:pPr>
            <w:r>
              <w:rPr>
                <w:rFonts w:hint="eastAsia" w:ascii="仿宋" w:hAnsi="仿宋" w:eastAsia="仿宋"/>
                <w:color w:val="auto"/>
                <w:sz w:val="24"/>
              </w:rPr>
              <w:t>10分</w:t>
            </w:r>
          </w:p>
          <w:p>
            <w:pPr>
              <w:widowControl/>
              <w:snapToGrid w:val="0"/>
              <w:spacing w:line="400" w:lineRule="exact"/>
              <w:jc w:val="center"/>
              <w:rPr>
                <w:color w:val="auto"/>
              </w:rPr>
            </w:pPr>
          </w:p>
        </w:tc>
        <w:tc>
          <w:tcPr>
            <w:tcW w:w="4395"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80" w:lineRule="exact"/>
              <w:rPr>
                <w:rFonts w:ascii="仿宋" w:hAnsi="仿宋" w:eastAsia="仿宋"/>
                <w:color w:val="auto"/>
                <w:sz w:val="24"/>
              </w:rPr>
            </w:pPr>
            <w:r>
              <w:rPr>
                <w:rFonts w:hint="eastAsia" w:ascii="仿宋" w:hAnsi="仿宋" w:eastAsia="仿宋"/>
                <w:color w:val="auto"/>
                <w:sz w:val="24"/>
              </w:rPr>
              <w:t>【序馆设计方案】（0-</w:t>
            </w:r>
            <w:r>
              <w:rPr>
                <w:rFonts w:hint="eastAsia" w:ascii="仿宋" w:hAnsi="仿宋" w:eastAsia="仿宋"/>
                <w:color w:val="auto"/>
                <w:sz w:val="24"/>
                <w:lang w:val="en-US" w:eastAsia="zh-CN"/>
              </w:rPr>
              <w:t>1</w:t>
            </w:r>
            <w:r>
              <w:rPr>
                <w:rFonts w:hint="eastAsia" w:ascii="仿宋" w:hAnsi="仿宋" w:eastAsia="仿宋"/>
                <w:color w:val="auto"/>
                <w:sz w:val="24"/>
              </w:rPr>
              <w:t>0分）</w:t>
            </w:r>
          </w:p>
          <w:p>
            <w:pPr>
              <w:widowControl/>
              <w:snapToGrid w:val="0"/>
              <w:spacing w:line="380" w:lineRule="exact"/>
              <w:rPr>
                <w:rFonts w:ascii="仿宋" w:hAnsi="仿宋" w:eastAsia="仿宋"/>
                <w:color w:val="auto"/>
                <w:sz w:val="24"/>
              </w:rPr>
            </w:pPr>
            <w:r>
              <w:rPr>
                <w:rFonts w:hint="eastAsia" w:ascii="仿宋" w:hAnsi="仿宋" w:eastAsia="仿宋"/>
                <w:color w:val="auto"/>
                <w:sz w:val="24"/>
              </w:rPr>
              <w:t>供应商依据项目需求，提供设计方案，展馆设计方案</w:t>
            </w:r>
            <w:r>
              <w:rPr>
                <w:rFonts w:ascii="仿宋" w:hAnsi="仿宋" w:eastAsia="仿宋"/>
                <w:color w:val="auto"/>
                <w:sz w:val="24"/>
              </w:rPr>
              <w:t>创意新颖，</w:t>
            </w:r>
            <w:r>
              <w:rPr>
                <w:rFonts w:hint="eastAsia" w:ascii="仿宋" w:hAnsi="仿宋" w:eastAsia="仿宋"/>
                <w:color w:val="auto"/>
                <w:sz w:val="24"/>
              </w:rPr>
              <w:t>造型美观大方</w:t>
            </w:r>
            <w:r>
              <w:rPr>
                <w:rFonts w:ascii="仿宋" w:hAnsi="仿宋" w:eastAsia="仿宋"/>
                <w:color w:val="auto"/>
                <w:sz w:val="24"/>
              </w:rPr>
              <w:t>，展示布局科学合理，内部设计色调与外观主色调协调美观，观展动线设计合理、通畅</w:t>
            </w:r>
            <w:r>
              <w:rPr>
                <w:rFonts w:hint="eastAsia" w:ascii="仿宋" w:hAnsi="仿宋" w:eastAsia="仿宋"/>
                <w:color w:val="auto"/>
                <w:sz w:val="24"/>
              </w:rPr>
              <w:t>，</w:t>
            </w:r>
            <w:r>
              <w:rPr>
                <w:rFonts w:ascii="仿宋" w:hAnsi="仿宋" w:eastAsia="仿宋"/>
                <w:color w:val="auto"/>
                <w:sz w:val="24"/>
              </w:rPr>
              <w:t>观众体验感强</w:t>
            </w:r>
            <w:r>
              <w:rPr>
                <w:rFonts w:hint="eastAsia" w:ascii="仿宋" w:hAnsi="仿宋" w:eastAsia="仿宋"/>
                <w:color w:val="auto"/>
                <w:sz w:val="24"/>
              </w:rPr>
              <w:t>。</w:t>
            </w:r>
          </w:p>
          <w:p>
            <w:pPr>
              <w:widowControl/>
              <w:snapToGrid w:val="0"/>
              <w:spacing w:line="380" w:lineRule="exact"/>
              <w:rPr>
                <w:rFonts w:ascii="仿宋" w:hAnsi="仿宋" w:eastAsia="仿宋"/>
                <w:color w:val="auto"/>
                <w:sz w:val="24"/>
              </w:rPr>
            </w:pPr>
            <w:r>
              <w:rPr>
                <w:rFonts w:hint="eastAsia" w:ascii="仿宋" w:hAnsi="仿宋" w:eastAsia="仿宋"/>
                <w:color w:val="auto"/>
                <w:sz w:val="24"/>
              </w:rPr>
              <w:t>优得7-10分，良得4-7分，一般得1-4分，差得0-1分；未提供得0分。</w:t>
            </w:r>
          </w:p>
        </w:tc>
        <w:tc>
          <w:tcPr>
            <w:tcW w:w="290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rPr>
                <w:color w:val="auto"/>
              </w:rPr>
            </w:pPr>
          </w:p>
        </w:tc>
      </w:tr>
      <w:tr>
        <w:tblPrEx>
          <w:tblCellMar>
            <w:top w:w="0" w:type="dxa"/>
            <w:left w:w="0" w:type="dxa"/>
            <w:bottom w:w="0" w:type="dxa"/>
            <w:right w:w="0" w:type="dxa"/>
          </w:tblCellMar>
        </w:tblPrEx>
        <w:trPr>
          <w:trHeight w:val="1494" w:hRule="atLeast"/>
        </w:trPr>
        <w:tc>
          <w:tcPr>
            <w:tcW w:w="56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rPr>
                <w:color w:val="auto"/>
              </w:rPr>
            </w:pPr>
          </w:p>
        </w:tc>
        <w:tc>
          <w:tcPr>
            <w:tcW w:w="1198" w:type="dxa"/>
            <w:vMerge w:val="continue"/>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widowControl/>
              <w:snapToGrid w:val="0"/>
              <w:spacing w:line="400" w:lineRule="exact"/>
              <w:rPr>
                <w:color w:val="auto"/>
              </w:rPr>
            </w:pPr>
          </w:p>
        </w:tc>
        <w:tc>
          <w:tcPr>
            <w:tcW w:w="787"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widowControl/>
              <w:snapToGrid w:val="0"/>
              <w:spacing w:line="400" w:lineRule="exact"/>
              <w:rPr>
                <w:rFonts w:ascii="仿宋" w:hAnsi="仿宋" w:eastAsia="仿宋"/>
                <w:color w:val="auto"/>
                <w:sz w:val="24"/>
              </w:rPr>
            </w:pPr>
            <w:r>
              <w:rPr>
                <w:rFonts w:hint="eastAsia" w:ascii="仿宋" w:hAnsi="仿宋" w:eastAsia="仿宋"/>
                <w:color w:val="auto"/>
                <w:sz w:val="24"/>
              </w:rPr>
              <w:t>10分</w:t>
            </w:r>
          </w:p>
        </w:tc>
        <w:tc>
          <w:tcPr>
            <w:tcW w:w="4395"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widowControl/>
              <w:snapToGrid w:val="0"/>
              <w:spacing w:line="380" w:lineRule="exact"/>
              <w:rPr>
                <w:rFonts w:ascii="仿宋" w:hAnsi="仿宋" w:eastAsia="仿宋"/>
                <w:color w:val="auto"/>
                <w:sz w:val="24"/>
              </w:rPr>
            </w:pPr>
            <w:r>
              <w:rPr>
                <w:rFonts w:hint="eastAsia" w:ascii="仿宋" w:hAnsi="仿宋" w:eastAsia="仿宋"/>
                <w:color w:val="auto"/>
                <w:sz w:val="24"/>
              </w:rPr>
              <w:t>【重庆主题展馆展现手法】（0-</w:t>
            </w:r>
            <w:r>
              <w:rPr>
                <w:rFonts w:hint="eastAsia" w:ascii="仿宋" w:hAnsi="仿宋" w:eastAsia="仿宋"/>
                <w:color w:val="auto"/>
                <w:sz w:val="24"/>
                <w:lang w:val="en-US" w:eastAsia="zh-CN"/>
              </w:rPr>
              <w:t>1</w:t>
            </w:r>
            <w:r>
              <w:rPr>
                <w:rFonts w:hint="eastAsia" w:ascii="仿宋" w:hAnsi="仿宋" w:eastAsia="仿宋"/>
                <w:color w:val="auto"/>
                <w:sz w:val="24"/>
              </w:rPr>
              <w:t>0分）</w:t>
            </w:r>
          </w:p>
          <w:p>
            <w:pPr>
              <w:widowControl/>
              <w:snapToGrid w:val="0"/>
              <w:spacing w:line="380" w:lineRule="exact"/>
              <w:rPr>
                <w:rFonts w:ascii="仿宋" w:hAnsi="仿宋" w:eastAsia="仿宋"/>
                <w:color w:val="auto"/>
                <w:sz w:val="24"/>
              </w:rPr>
            </w:pPr>
            <w:r>
              <w:rPr>
                <w:rFonts w:hint="eastAsia" w:ascii="仿宋" w:hAnsi="仿宋" w:eastAsia="仿宋"/>
                <w:color w:val="auto"/>
                <w:sz w:val="24"/>
              </w:rPr>
              <w:t>设计方案应充分利用声、光、电、图片、文字、多媒体、触屏、实物模型等多种展现手法，整体视觉效果（美观度和视觉冲击）具备科技感。</w:t>
            </w:r>
          </w:p>
          <w:p>
            <w:pPr>
              <w:widowControl/>
              <w:snapToGrid w:val="0"/>
              <w:spacing w:line="380" w:lineRule="exact"/>
              <w:rPr>
                <w:rFonts w:ascii="仿宋" w:hAnsi="仿宋" w:eastAsia="仿宋"/>
                <w:color w:val="auto"/>
                <w:sz w:val="24"/>
              </w:rPr>
            </w:pPr>
            <w:r>
              <w:rPr>
                <w:rFonts w:hint="eastAsia" w:ascii="仿宋" w:hAnsi="仿宋" w:eastAsia="仿宋"/>
                <w:color w:val="auto"/>
                <w:sz w:val="24"/>
              </w:rPr>
              <w:t>优得7-10分，良得4-7分，一般得1-4分，差得0-1分；未提供得0分。</w:t>
            </w:r>
          </w:p>
        </w:tc>
        <w:tc>
          <w:tcPr>
            <w:tcW w:w="2908" w:type="dxa"/>
            <w:vMerge w:val="continue"/>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widowControl/>
              <w:snapToGrid w:val="0"/>
              <w:spacing w:line="400" w:lineRule="exact"/>
              <w:rPr>
                <w:color w:val="auto"/>
              </w:rPr>
            </w:pPr>
          </w:p>
        </w:tc>
      </w:tr>
      <w:tr>
        <w:tblPrEx>
          <w:tblCellMar>
            <w:top w:w="0" w:type="dxa"/>
            <w:left w:w="0" w:type="dxa"/>
            <w:bottom w:w="0" w:type="dxa"/>
            <w:right w:w="0" w:type="dxa"/>
          </w:tblCellMar>
        </w:tblPrEx>
        <w:trPr>
          <w:trHeight w:val="499" w:hRule="atLeast"/>
        </w:trPr>
        <w:tc>
          <w:tcPr>
            <w:tcW w:w="567"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rPr>
                <w:color w:val="auto"/>
              </w:rPr>
            </w:pPr>
          </w:p>
        </w:tc>
        <w:tc>
          <w:tcPr>
            <w:tcW w:w="1198" w:type="dxa"/>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pPr>
              <w:widowControl/>
              <w:snapToGrid w:val="0"/>
              <w:spacing w:line="400" w:lineRule="exact"/>
              <w:rPr>
                <w:color w:val="auto"/>
              </w:rPr>
            </w:pPr>
          </w:p>
        </w:tc>
        <w:tc>
          <w:tcPr>
            <w:tcW w:w="787"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widowControl/>
              <w:snapToGrid w:val="0"/>
              <w:spacing w:line="400" w:lineRule="exact"/>
              <w:rPr>
                <w:rFonts w:ascii="仿宋" w:hAnsi="仿宋" w:eastAsia="仿宋"/>
                <w:color w:val="auto"/>
                <w:sz w:val="24"/>
              </w:rPr>
            </w:pPr>
            <w:r>
              <w:rPr>
                <w:rFonts w:hint="eastAsia" w:ascii="仿宋" w:hAnsi="仿宋" w:eastAsia="仿宋"/>
                <w:color w:val="auto"/>
                <w:sz w:val="24"/>
              </w:rPr>
              <w:t>10分</w:t>
            </w:r>
          </w:p>
        </w:tc>
        <w:tc>
          <w:tcPr>
            <w:tcW w:w="4395"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widowControl/>
              <w:snapToGrid w:val="0"/>
              <w:spacing w:line="380" w:lineRule="exact"/>
              <w:rPr>
                <w:rFonts w:ascii="仿宋" w:hAnsi="仿宋" w:eastAsia="仿宋"/>
                <w:color w:val="auto"/>
                <w:sz w:val="24"/>
              </w:rPr>
            </w:pPr>
            <w:r>
              <w:rPr>
                <w:rFonts w:hint="eastAsia" w:ascii="仿宋" w:hAnsi="仿宋" w:eastAsia="仿宋"/>
                <w:color w:val="auto"/>
                <w:sz w:val="24"/>
              </w:rPr>
              <w:t>【序馆展现手法】（0-</w:t>
            </w:r>
            <w:r>
              <w:rPr>
                <w:rFonts w:hint="eastAsia" w:ascii="仿宋" w:hAnsi="仿宋" w:eastAsia="仿宋"/>
                <w:color w:val="auto"/>
                <w:sz w:val="24"/>
                <w:lang w:val="en-US" w:eastAsia="zh-CN"/>
              </w:rPr>
              <w:t>1</w:t>
            </w:r>
            <w:r>
              <w:rPr>
                <w:rFonts w:hint="eastAsia" w:ascii="仿宋" w:hAnsi="仿宋" w:eastAsia="仿宋"/>
                <w:color w:val="auto"/>
                <w:sz w:val="24"/>
              </w:rPr>
              <w:t>0分）</w:t>
            </w:r>
          </w:p>
          <w:p>
            <w:pPr>
              <w:widowControl/>
              <w:snapToGrid w:val="0"/>
              <w:spacing w:line="380" w:lineRule="exact"/>
              <w:rPr>
                <w:rFonts w:ascii="仿宋" w:hAnsi="仿宋" w:eastAsia="仿宋"/>
                <w:color w:val="auto"/>
                <w:sz w:val="24"/>
              </w:rPr>
            </w:pPr>
            <w:r>
              <w:rPr>
                <w:rFonts w:hint="eastAsia" w:ascii="仿宋" w:hAnsi="仿宋" w:eastAsia="仿宋"/>
                <w:color w:val="auto"/>
                <w:sz w:val="24"/>
              </w:rPr>
              <w:t>设计方案应充分利用声、光、电、图片、文字、多媒体、触屏、实物模型等多种展现手法，整体视觉效果（美观度和视觉冲击）具备科技感。</w:t>
            </w:r>
          </w:p>
          <w:p>
            <w:pPr>
              <w:widowControl/>
              <w:snapToGrid w:val="0"/>
              <w:spacing w:line="380" w:lineRule="exact"/>
              <w:rPr>
                <w:rFonts w:ascii="仿宋" w:hAnsi="仿宋" w:eastAsia="仿宋"/>
                <w:color w:val="auto"/>
                <w:sz w:val="24"/>
              </w:rPr>
            </w:pPr>
            <w:r>
              <w:rPr>
                <w:rFonts w:hint="eastAsia" w:ascii="仿宋" w:hAnsi="仿宋" w:eastAsia="仿宋"/>
                <w:color w:val="auto"/>
                <w:sz w:val="24"/>
              </w:rPr>
              <w:t>优得7-10分，良得4-7分，一般得1-4分，差得0-1分；未提供得0分。</w:t>
            </w:r>
          </w:p>
        </w:tc>
        <w:tc>
          <w:tcPr>
            <w:tcW w:w="2908" w:type="dxa"/>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pPr>
              <w:widowControl/>
              <w:snapToGrid w:val="0"/>
              <w:spacing w:line="400" w:lineRule="exact"/>
              <w:rPr>
                <w:color w:val="auto"/>
              </w:rPr>
            </w:pPr>
          </w:p>
        </w:tc>
      </w:tr>
      <w:tr>
        <w:tblPrEx>
          <w:tblCellMar>
            <w:top w:w="0" w:type="dxa"/>
            <w:left w:w="0" w:type="dxa"/>
            <w:bottom w:w="0" w:type="dxa"/>
            <w:right w:w="0" w:type="dxa"/>
          </w:tblCellMar>
        </w:tblPrEx>
        <w:trPr>
          <w:trHeight w:val="556" w:hRule="atLeast"/>
        </w:trPr>
        <w:tc>
          <w:tcPr>
            <w:tcW w:w="567"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napToGrid w:val="0"/>
              <w:spacing w:line="400" w:lineRule="exact"/>
              <w:jc w:val="center"/>
              <w:rPr>
                <w:rFonts w:ascii="仿宋" w:hAnsi="仿宋" w:eastAsia="仿宋"/>
                <w:color w:val="auto"/>
                <w:sz w:val="24"/>
              </w:rPr>
            </w:pPr>
            <w:r>
              <w:rPr>
                <w:rFonts w:hint="eastAsia" w:ascii="仿宋" w:hAnsi="仿宋" w:eastAsia="仿宋"/>
                <w:color w:val="auto"/>
                <w:sz w:val="24"/>
              </w:rPr>
              <w:t>3</w:t>
            </w:r>
          </w:p>
          <w:p>
            <w:pPr>
              <w:widowControl/>
              <w:snapToGrid w:val="0"/>
              <w:spacing w:line="400" w:lineRule="exact"/>
              <w:jc w:val="center"/>
              <w:rPr>
                <w:rFonts w:ascii="仿宋" w:hAnsi="仿宋" w:eastAsia="仿宋"/>
                <w:color w:val="auto"/>
                <w:sz w:val="24"/>
              </w:rPr>
            </w:pPr>
          </w:p>
          <w:p>
            <w:pPr>
              <w:widowControl/>
              <w:snapToGrid w:val="0"/>
              <w:spacing w:line="400" w:lineRule="exact"/>
              <w:jc w:val="center"/>
              <w:rPr>
                <w:rFonts w:eastAsia="宋体"/>
                <w:color w:val="auto"/>
              </w:rPr>
            </w:pPr>
          </w:p>
          <w:p>
            <w:pPr>
              <w:widowControl/>
              <w:snapToGrid w:val="0"/>
              <w:spacing w:line="400" w:lineRule="exact"/>
              <w:jc w:val="center"/>
              <w:rPr>
                <w:color w:val="auto"/>
              </w:rPr>
            </w:pPr>
          </w:p>
        </w:tc>
        <w:tc>
          <w:tcPr>
            <w:tcW w:w="11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400" w:lineRule="exact"/>
              <w:jc w:val="center"/>
              <w:rPr>
                <w:rFonts w:ascii="仿宋" w:hAnsi="仿宋" w:eastAsia="仿宋"/>
                <w:color w:val="auto"/>
                <w:sz w:val="24"/>
              </w:rPr>
            </w:pPr>
            <w:r>
              <w:rPr>
                <w:rFonts w:hint="eastAsia" w:ascii="仿宋" w:hAnsi="仿宋" w:eastAsia="仿宋"/>
                <w:color w:val="auto"/>
                <w:sz w:val="24"/>
              </w:rPr>
              <w:t>商务部分</w:t>
            </w:r>
          </w:p>
          <w:p>
            <w:pPr>
              <w:widowControl/>
              <w:snapToGrid w:val="0"/>
              <w:spacing w:line="400" w:lineRule="exact"/>
              <w:jc w:val="center"/>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0</w:t>
            </w:r>
            <w:r>
              <w:rPr>
                <w:rFonts w:hint="eastAsia" w:ascii="仿宋" w:hAnsi="仿宋" w:eastAsia="仿宋"/>
                <w:color w:val="auto"/>
                <w:sz w:val="24"/>
              </w:rPr>
              <w:t>%）</w:t>
            </w:r>
          </w:p>
          <w:p>
            <w:pPr>
              <w:widowControl/>
              <w:snapToGrid w:val="0"/>
              <w:spacing w:line="400" w:lineRule="exact"/>
              <w:jc w:val="center"/>
              <w:rPr>
                <w:rFonts w:ascii="仿宋" w:hAnsi="仿宋" w:eastAsia="仿宋"/>
                <w:color w:val="auto"/>
                <w:sz w:val="24"/>
              </w:rPr>
            </w:pPr>
          </w:p>
          <w:p>
            <w:pPr>
              <w:widowControl/>
              <w:snapToGrid w:val="0"/>
              <w:spacing w:line="400" w:lineRule="exact"/>
              <w:jc w:val="center"/>
              <w:rPr>
                <w:rFonts w:eastAsia="宋体"/>
                <w:color w:val="auto"/>
              </w:rPr>
            </w:pPr>
          </w:p>
          <w:p>
            <w:pPr>
              <w:widowControl/>
              <w:snapToGrid w:val="0"/>
              <w:spacing w:line="400" w:lineRule="exact"/>
              <w:jc w:val="center"/>
              <w:rPr>
                <w:color w:val="auto"/>
              </w:rPr>
            </w:pPr>
          </w:p>
        </w:tc>
        <w:tc>
          <w:tcPr>
            <w:tcW w:w="7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400" w:lineRule="exact"/>
              <w:rPr>
                <w:rFonts w:ascii="仿宋" w:hAnsi="仿宋" w:eastAsia="仿宋"/>
                <w:color w:val="auto"/>
                <w:sz w:val="24"/>
              </w:rPr>
            </w:pPr>
            <w:r>
              <w:rPr>
                <w:rFonts w:hint="eastAsia" w:ascii="仿宋" w:hAnsi="仿宋" w:eastAsia="仿宋"/>
                <w:color w:val="auto"/>
                <w:sz w:val="24"/>
              </w:rPr>
              <w:t>20分</w:t>
            </w:r>
          </w:p>
        </w:tc>
        <w:tc>
          <w:tcPr>
            <w:tcW w:w="43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380" w:lineRule="exact"/>
              <w:jc w:val="left"/>
              <w:textAlignment w:val="auto"/>
              <w:rPr>
                <w:rFonts w:ascii="仿宋" w:hAnsi="仿宋" w:eastAsia="仿宋"/>
                <w:color w:val="auto"/>
                <w:sz w:val="24"/>
              </w:rPr>
            </w:pPr>
            <w:r>
              <w:rPr>
                <w:rFonts w:hint="eastAsia" w:ascii="仿宋" w:hAnsi="仿宋" w:eastAsia="仿宋"/>
                <w:color w:val="auto"/>
                <w:sz w:val="24"/>
              </w:rPr>
              <w:t>【业绩】（0-20分）</w:t>
            </w:r>
          </w:p>
          <w:p>
            <w:pPr>
              <w:keepNext w:val="0"/>
              <w:keepLines w:val="0"/>
              <w:pageBreakBefore w:val="0"/>
              <w:widowControl/>
              <w:kinsoku/>
              <w:wordWrap/>
              <w:overflowPunct/>
              <w:topLinePunct w:val="0"/>
              <w:autoSpaceDE/>
              <w:autoSpaceDN/>
              <w:bidi w:val="0"/>
              <w:adjustRightInd/>
              <w:snapToGrid w:val="0"/>
              <w:spacing w:line="380" w:lineRule="exact"/>
              <w:textAlignment w:val="auto"/>
              <w:rPr>
                <w:rFonts w:ascii="仿宋" w:hAnsi="仿宋" w:eastAsia="仿宋"/>
                <w:color w:val="auto"/>
                <w:sz w:val="24"/>
              </w:rPr>
            </w:pPr>
            <w:r>
              <w:rPr>
                <w:rFonts w:hint="eastAsia" w:ascii="仿宋" w:hAnsi="仿宋" w:eastAsia="仿宋"/>
                <w:color w:val="auto"/>
                <w:sz w:val="24"/>
              </w:rPr>
              <w:t>供应商提供承接过以下任意业绩情形之一，每有一项得4分，满分20分，没有的不得分。</w:t>
            </w:r>
          </w:p>
          <w:p>
            <w:pPr>
              <w:keepNext w:val="0"/>
              <w:keepLines w:val="0"/>
              <w:pageBreakBefore w:val="0"/>
              <w:kinsoku/>
              <w:wordWrap/>
              <w:overflowPunct/>
              <w:topLinePunct w:val="0"/>
              <w:autoSpaceDE/>
              <w:autoSpaceDN/>
              <w:bidi w:val="0"/>
              <w:adjustRightInd/>
              <w:snapToGrid w:val="0"/>
              <w:spacing w:line="380" w:lineRule="exact"/>
              <w:textAlignment w:val="auto"/>
              <w:rPr>
                <w:rFonts w:ascii="仿宋" w:hAnsi="仿宋" w:eastAsia="仿宋"/>
                <w:color w:val="auto"/>
                <w:sz w:val="24"/>
              </w:rPr>
            </w:pPr>
            <w:r>
              <w:rPr>
                <w:rFonts w:ascii="仿宋" w:hAnsi="仿宋" w:eastAsia="仿宋"/>
                <w:color w:val="auto"/>
                <w:sz w:val="24"/>
              </w:rPr>
              <w:t>①</w:t>
            </w:r>
            <w:r>
              <w:rPr>
                <w:rFonts w:hint="eastAsia" w:ascii="仿宋" w:hAnsi="仿宋" w:eastAsia="仿宋"/>
                <w:color w:val="auto"/>
                <w:sz w:val="24"/>
              </w:rPr>
              <w:t>设计过</w:t>
            </w:r>
            <w:r>
              <w:rPr>
                <w:rFonts w:hint="eastAsia" w:ascii="仿宋" w:hAnsi="仿宋" w:eastAsia="仿宋"/>
                <w:color w:val="auto"/>
                <w:sz w:val="24"/>
                <w:lang w:eastAsia="zh-CN"/>
              </w:rPr>
              <w:t>地级市（直辖市的区县）及以上级别</w:t>
            </w:r>
            <w:r>
              <w:rPr>
                <w:rFonts w:hint="eastAsia" w:ascii="仿宋" w:hAnsi="仿宋" w:eastAsia="仿宋"/>
                <w:color w:val="auto"/>
                <w:sz w:val="24"/>
              </w:rPr>
              <w:t>单位主办的大型展会，展台面积在100平方以上的展台设计，且设计单项合同金额不低于</w:t>
            </w:r>
            <w:r>
              <w:rPr>
                <w:rFonts w:hint="eastAsia" w:ascii="仿宋" w:hAnsi="仿宋" w:eastAsia="仿宋"/>
                <w:color w:val="auto"/>
                <w:sz w:val="24"/>
                <w:lang w:val="en-US" w:eastAsia="zh-CN"/>
              </w:rPr>
              <w:t>3</w:t>
            </w:r>
            <w:r>
              <w:rPr>
                <w:rFonts w:hint="eastAsia" w:ascii="仿宋" w:hAnsi="仿宋" w:eastAsia="仿宋"/>
                <w:color w:val="auto"/>
                <w:sz w:val="24"/>
              </w:rPr>
              <w:t>万元；</w:t>
            </w:r>
          </w:p>
          <w:p>
            <w:pPr>
              <w:keepNext w:val="0"/>
              <w:keepLines w:val="0"/>
              <w:pageBreakBefore w:val="0"/>
              <w:kinsoku/>
              <w:wordWrap/>
              <w:overflowPunct/>
              <w:topLinePunct w:val="0"/>
              <w:autoSpaceDE/>
              <w:autoSpaceDN/>
              <w:bidi w:val="0"/>
              <w:adjustRightInd/>
              <w:snapToGrid w:val="0"/>
              <w:spacing w:line="380" w:lineRule="exact"/>
              <w:textAlignment w:val="auto"/>
              <w:rPr>
                <w:rFonts w:ascii="仿宋" w:hAnsi="仿宋" w:eastAsia="仿宋"/>
                <w:color w:val="auto"/>
                <w:sz w:val="24"/>
              </w:rPr>
            </w:pPr>
            <w:r>
              <w:rPr>
                <w:rFonts w:ascii="仿宋" w:hAnsi="仿宋" w:eastAsia="仿宋"/>
                <w:color w:val="auto"/>
                <w:sz w:val="24"/>
              </w:rPr>
              <w:t>②</w:t>
            </w:r>
            <w:r>
              <w:rPr>
                <w:rFonts w:hint="eastAsia" w:ascii="仿宋" w:hAnsi="仿宋" w:eastAsia="仿宋"/>
                <w:color w:val="auto"/>
                <w:sz w:val="24"/>
              </w:rPr>
              <w:t>承接过</w:t>
            </w:r>
            <w:r>
              <w:rPr>
                <w:rFonts w:hint="eastAsia" w:ascii="仿宋" w:hAnsi="仿宋" w:eastAsia="仿宋"/>
                <w:color w:val="auto"/>
                <w:sz w:val="24"/>
                <w:lang w:eastAsia="zh-CN"/>
              </w:rPr>
              <w:t>地级市（直辖市的区县）及以上级别</w:t>
            </w:r>
            <w:r>
              <w:rPr>
                <w:rFonts w:hint="eastAsia" w:ascii="仿宋" w:hAnsi="仿宋" w:eastAsia="仿宋"/>
                <w:color w:val="auto"/>
                <w:sz w:val="24"/>
              </w:rPr>
              <w:t>单位主办的大型展会，设计搭建（施工）一体化单项合同金额不低于50万元的业绩。</w:t>
            </w:r>
          </w:p>
          <w:p>
            <w:pPr>
              <w:keepNext w:val="0"/>
              <w:keepLines w:val="0"/>
              <w:pageBreakBefore w:val="0"/>
              <w:kinsoku/>
              <w:wordWrap/>
              <w:overflowPunct/>
              <w:topLinePunct w:val="0"/>
              <w:autoSpaceDE/>
              <w:autoSpaceDN/>
              <w:bidi w:val="0"/>
              <w:adjustRightInd/>
              <w:snapToGrid w:val="0"/>
              <w:spacing w:line="380" w:lineRule="exact"/>
              <w:jc w:val="left"/>
              <w:textAlignment w:val="auto"/>
              <w:rPr>
                <w:rFonts w:ascii="仿宋" w:hAnsi="仿宋" w:eastAsia="仿宋"/>
                <w:color w:val="auto"/>
                <w:sz w:val="24"/>
              </w:rPr>
            </w:pPr>
            <w:r>
              <w:rPr>
                <w:rFonts w:hint="eastAsia" w:ascii="仿宋" w:hAnsi="仿宋" w:eastAsia="仿宋"/>
                <w:b/>
                <w:sz w:val="24"/>
              </w:rPr>
              <w:t>注：特定资格条件业绩不作为本篇商务部分</w:t>
            </w:r>
            <w:r>
              <w:rPr>
                <w:rFonts w:hint="eastAsia" w:ascii="仿宋" w:hAnsi="仿宋" w:eastAsia="仿宋"/>
                <w:b/>
                <w:sz w:val="24"/>
                <w:lang w:val="en-US" w:eastAsia="zh-CN"/>
              </w:rPr>
              <w:t>加</w:t>
            </w:r>
            <w:r>
              <w:rPr>
                <w:rFonts w:hint="eastAsia" w:ascii="仿宋" w:hAnsi="仿宋" w:eastAsia="仿宋"/>
                <w:b/>
                <w:sz w:val="24"/>
              </w:rPr>
              <w:t>分项。</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line="400" w:lineRule="exact"/>
              <w:rPr>
                <w:rFonts w:ascii="仿宋" w:hAnsi="仿宋" w:eastAsia="仿宋"/>
                <w:color w:val="auto"/>
                <w:sz w:val="24"/>
              </w:rPr>
            </w:pPr>
            <w:r>
              <w:rPr>
                <w:rFonts w:hint="eastAsia" w:ascii="仿宋" w:hAnsi="仿宋" w:eastAsia="仿宋"/>
                <w:color w:val="auto"/>
                <w:sz w:val="24"/>
              </w:rPr>
              <w:t>省部级以上单位举办的展览（或会议）需提供相应官方简介或相应官网截图信息，提供与展会主办方（或承办方、组织方）或参展方有效合同及验收报告复印件加盖供应商公章。</w:t>
            </w:r>
          </w:p>
        </w:tc>
      </w:tr>
    </w:tbl>
    <w:p>
      <w:pPr>
        <w:snapToGrid w:val="0"/>
        <w:spacing w:line="500" w:lineRule="exact"/>
        <w:ind w:firstLine="480"/>
        <w:rPr>
          <w:color w:val="auto"/>
        </w:rPr>
        <w:sectPr>
          <w:footerReference r:id="rId7" w:type="default"/>
          <w:pgSz w:w="11907" w:h="16840"/>
          <w:pgMar w:top="1134" w:right="1191" w:bottom="1134" w:left="1304" w:header="964" w:footer="992" w:gutter="0"/>
          <w:cols w:space="720" w:num="1"/>
          <w:docGrid w:linePitch="312" w:charSpace="0"/>
        </w:sectPr>
      </w:pPr>
    </w:p>
    <w:p>
      <w:pPr>
        <w:keepNext/>
        <w:keepLines/>
        <w:pageBreakBefore/>
        <w:snapToGrid w:val="0"/>
        <w:spacing w:before="260" w:after="260" w:line="360" w:lineRule="auto"/>
        <w:jc w:val="center"/>
        <w:outlineLvl w:val="0"/>
        <w:rPr>
          <w:rFonts w:ascii="方正小标宋_GBK" w:hAnsi="方正小标宋_GBK" w:eastAsia="方正小标宋_GBK" w:cs="方正小标宋_GBK"/>
          <w:b/>
          <w:color w:val="auto"/>
          <w:sz w:val="36"/>
          <w:szCs w:val="36"/>
        </w:rPr>
      </w:pPr>
      <w:bookmarkStart w:id="17" w:name="_Toc15887"/>
      <w:bookmarkStart w:id="18" w:name="_Toc9175"/>
      <w:r>
        <w:rPr>
          <w:rFonts w:hint="eastAsia" w:ascii="方正小标宋_GBK" w:hAnsi="方正小标宋_GBK" w:eastAsia="方正小标宋_GBK" w:cs="方正小标宋_GBK"/>
          <w:b/>
          <w:color w:val="auto"/>
          <w:sz w:val="36"/>
          <w:szCs w:val="36"/>
        </w:rPr>
        <w:t>第五篇  供应商须知</w:t>
      </w:r>
      <w:bookmarkEnd w:id="17"/>
      <w:bookmarkEnd w:id="18"/>
    </w:p>
    <w:p>
      <w:pPr>
        <w:keepNext/>
        <w:keepLines/>
        <w:snapToGrid w:val="0"/>
        <w:spacing w:line="500" w:lineRule="exact"/>
        <w:ind w:firstLine="482"/>
        <w:outlineLvl w:val="1"/>
        <w:rPr>
          <w:rFonts w:ascii="仿宋" w:hAnsi="仿宋" w:eastAsia="仿宋"/>
          <w:b/>
          <w:color w:val="auto"/>
          <w:sz w:val="28"/>
        </w:rPr>
      </w:pPr>
      <w:bookmarkStart w:id="19" w:name="_Toc23556"/>
      <w:r>
        <w:rPr>
          <w:rFonts w:hint="eastAsia" w:ascii="仿宋" w:hAnsi="仿宋" w:eastAsia="仿宋"/>
          <w:b/>
          <w:color w:val="auto"/>
          <w:sz w:val="28"/>
        </w:rPr>
        <w:t>一、磋商要求</w:t>
      </w:r>
      <w:bookmarkEnd w:id="19"/>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（一）响应文件</w:t>
      </w:r>
    </w:p>
    <w:p>
      <w:pPr>
        <w:snapToGrid w:val="0"/>
        <w:spacing w:line="500" w:lineRule="exact"/>
        <w:ind w:firstLine="48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供应商应当按照竞争性磋商文件的要求编制响应文件，并对竞争性磋商文件提出的要求和条件作出实质性响应，响应文件原则上采用软面订本，同时应编制完整的页码、目录。</w:t>
      </w:r>
    </w:p>
    <w:p>
      <w:pPr>
        <w:snapToGrid w:val="0"/>
        <w:spacing w:line="500" w:lineRule="exact"/>
        <w:ind w:firstLine="48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响应文件组成</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响应文件由第七篇</w:t>
      </w:r>
      <w:r>
        <w:rPr>
          <w:rFonts w:ascii="仿宋" w:hAnsi="仿宋" w:eastAsia="仿宋"/>
          <w:color w:val="auto"/>
          <w:sz w:val="24"/>
        </w:rPr>
        <w:t>“</w:t>
      </w:r>
      <w:r>
        <w:rPr>
          <w:rFonts w:hint="eastAsia" w:ascii="仿宋" w:hAnsi="仿宋" w:eastAsia="仿宋"/>
          <w:color w:val="auto"/>
          <w:sz w:val="24"/>
        </w:rPr>
        <w:t>响应文件编制要求</w:t>
      </w:r>
      <w:r>
        <w:rPr>
          <w:rFonts w:ascii="仿宋" w:hAnsi="仿宋" w:eastAsia="仿宋"/>
          <w:color w:val="auto"/>
          <w:sz w:val="24"/>
        </w:rPr>
        <w:t>”</w:t>
      </w:r>
      <w:r>
        <w:rPr>
          <w:rFonts w:hint="eastAsia" w:ascii="仿宋" w:hAnsi="仿宋" w:eastAsia="仿宋"/>
          <w:color w:val="auto"/>
          <w:sz w:val="24"/>
        </w:rPr>
        <w:t>规定的部分和供应商所作的一切有效补充、修改和承诺等文件组成，供应商应按照第七篇</w:t>
      </w:r>
      <w:r>
        <w:rPr>
          <w:rFonts w:ascii="仿宋" w:hAnsi="仿宋" w:eastAsia="仿宋"/>
          <w:color w:val="auto"/>
          <w:sz w:val="24"/>
        </w:rPr>
        <w:t>“</w:t>
      </w:r>
      <w:r>
        <w:rPr>
          <w:rFonts w:hint="eastAsia" w:ascii="仿宋" w:hAnsi="仿宋" w:eastAsia="仿宋"/>
          <w:color w:val="auto"/>
          <w:sz w:val="24"/>
        </w:rPr>
        <w:t>响应文件编制要求</w:t>
      </w:r>
      <w:r>
        <w:rPr>
          <w:rFonts w:ascii="仿宋" w:hAnsi="仿宋" w:eastAsia="仿宋"/>
          <w:color w:val="auto"/>
          <w:sz w:val="24"/>
        </w:rPr>
        <w:t>”</w:t>
      </w:r>
      <w:r>
        <w:rPr>
          <w:rFonts w:hint="eastAsia" w:ascii="仿宋" w:hAnsi="仿宋" w:eastAsia="仿宋"/>
          <w:color w:val="auto"/>
          <w:sz w:val="24"/>
        </w:rPr>
        <w:t>规定的目录顺序组织编写和装订，也可在基本格式基础上对表格进行扩展，未规定格式的由供应商自定格式。</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（二）联合体</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不接受联合体投标。</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（三）磋商有效期：响应文件及有关承诺文件有效期为提交响应文件截止时间起</w:t>
      </w:r>
      <w:r>
        <w:rPr>
          <w:rFonts w:ascii="仿宋" w:hAnsi="仿宋" w:eastAsia="仿宋"/>
          <w:color w:val="auto"/>
          <w:sz w:val="24"/>
        </w:rPr>
        <w:t>90</w:t>
      </w:r>
      <w:r>
        <w:rPr>
          <w:rFonts w:hint="eastAsia" w:ascii="仿宋" w:hAnsi="仿宋" w:eastAsia="仿宋"/>
          <w:color w:val="auto"/>
          <w:sz w:val="24"/>
        </w:rPr>
        <w:t>天。</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（四）磋商保证金：</w:t>
      </w:r>
    </w:p>
    <w:p>
      <w:pPr>
        <w:snapToGrid w:val="0"/>
        <w:spacing w:line="500" w:lineRule="exact"/>
        <w:ind w:firstLine="48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供应商提交保证金金额和方式详见本文件第一篇</w:t>
      </w:r>
      <w:r>
        <w:rPr>
          <w:rFonts w:ascii="仿宋" w:hAnsi="仿宋" w:eastAsia="仿宋"/>
          <w:color w:val="auto"/>
          <w:sz w:val="24"/>
        </w:rPr>
        <w:t>“</w:t>
      </w:r>
      <w:r>
        <w:rPr>
          <w:rFonts w:hint="eastAsia" w:ascii="仿宋" w:hAnsi="仿宋" w:eastAsia="仿宋"/>
          <w:color w:val="auto"/>
          <w:sz w:val="24"/>
        </w:rPr>
        <w:t>五、磋商保证金</w:t>
      </w:r>
      <w:r>
        <w:rPr>
          <w:rFonts w:ascii="仿宋" w:hAnsi="仿宋" w:eastAsia="仿宋"/>
          <w:color w:val="auto"/>
          <w:sz w:val="24"/>
        </w:rPr>
        <w:t>”</w:t>
      </w:r>
      <w:r>
        <w:rPr>
          <w:rFonts w:hint="eastAsia" w:ascii="仿宋" w:hAnsi="仿宋" w:eastAsia="仿宋"/>
          <w:color w:val="auto"/>
          <w:sz w:val="24"/>
        </w:rPr>
        <w:t>；</w:t>
      </w:r>
    </w:p>
    <w:p>
      <w:pPr>
        <w:snapToGrid w:val="0"/>
        <w:spacing w:line="500" w:lineRule="exact"/>
        <w:ind w:firstLine="48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发生以下情况之一者，磋商保证金不予退还：</w:t>
      </w:r>
    </w:p>
    <w:p>
      <w:pPr>
        <w:snapToGrid w:val="0"/>
        <w:spacing w:line="500" w:lineRule="exact"/>
        <w:ind w:firstLine="480"/>
        <w:rPr>
          <w:rFonts w:ascii="仿宋" w:hAnsi="仿宋" w:eastAsia="仿宋"/>
          <w:color w:val="auto"/>
          <w:sz w:val="24"/>
        </w:rPr>
      </w:pPr>
      <w:r>
        <w:rPr>
          <w:rFonts w:ascii="仿宋" w:hAnsi="仿宋" w:eastAsia="仿宋"/>
          <w:color w:val="auto"/>
          <w:sz w:val="24"/>
        </w:rPr>
        <w:t xml:space="preserve">2.1 </w:t>
      </w:r>
      <w:r>
        <w:rPr>
          <w:rFonts w:hint="eastAsia" w:ascii="仿宋" w:hAnsi="仿宋" w:eastAsia="仿宋"/>
          <w:color w:val="auto"/>
          <w:sz w:val="24"/>
        </w:rPr>
        <w:t>供应商在提交响应文件截止时间后撤回响应文件的；</w:t>
      </w:r>
    </w:p>
    <w:p>
      <w:pPr>
        <w:snapToGrid w:val="0"/>
        <w:spacing w:line="500" w:lineRule="exact"/>
        <w:ind w:firstLine="480"/>
        <w:rPr>
          <w:rFonts w:ascii="仿宋" w:hAnsi="仿宋" w:eastAsia="仿宋"/>
          <w:color w:val="auto"/>
          <w:sz w:val="24"/>
        </w:rPr>
      </w:pPr>
      <w:r>
        <w:rPr>
          <w:rFonts w:ascii="仿宋" w:hAnsi="仿宋" w:eastAsia="仿宋"/>
          <w:color w:val="auto"/>
          <w:sz w:val="24"/>
        </w:rPr>
        <w:t xml:space="preserve">2.2 </w:t>
      </w:r>
      <w:r>
        <w:rPr>
          <w:rFonts w:hint="eastAsia" w:ascii="仿宋" w:hAnsi="仿宋" w:eastAsia="仿宋"/>
          <w:color w:val="auto"/>
          <w:sz w:val="24"/>
        </w:rPr>
        <w:t>供应商在响应文件中提供虚假材料的；</w:t>
      </w:r>
    </w:p>
    <w:p>
      <w:pPr>
        <w:snapToGrid w:val="0"/>
        <w:spacing w:line="500" w:lineRule="exact"/>
        <w:ind w:firstLine="480"/>
        <w:rPr>
          <w:rFonts w:ascii="仿宋" w:hAnsi="仿宋" w:eastAsia="仿宋"/>
          <w:color w:val="auto"/>
          <w:sz w:val="24"/>
        </w:rPr>
      </w:pPr>
      <w:r>
        <w:rPr>
          <w:rFonts w:ascii="仿宋" w:hAnsi="仿宋" w:eastAsia="仿宋"/>
          <w:color w:val="auto"/>
          <w:sz w:val="24"/>
        </w:rPr>
        <w:t xml:space="preserve">2.3 </w:t>
      </w:r>
      <w:r>
        <w:rPr>
          <w:rFonts w:hint="eastAsia" w:ascii="仿宋" w:hAnsi="仿宋" w:eastAsia="仿宋"/>
          <w:color w:val="auto"/>
          <w:sz w:val="24"/>
        </w:rPr>
        <w:t>除因不可抗力或竞争性磋商文件认可的情形以外，成交供应商不与采购人签订合同的；</w:t>
      </w:r>
    </w:p>
    <w:p>
      <w:pPr>
        <w:snapToGrid w:val="0"/>
        <w:spacing w:line="500" w:lineRule="exact"/>
        <w:ind w:firstLine="480"/>
        <w:rPr>
          <w:rFonts w:ascii="仿宋" w:hAnsi="仿宋" w:eastAsia="仿宋"/>
          <w:color w:val="auto"/>
          <w:sz w:val="24"/>
        </w:rPr>
      </w:pPr>
      <w:r>
        <w:rPr>
          <w:rFonts w:ascii="仿宋" w:hAnsi="仿宋" w:eastAsia="仿宋"/>
          <w:color w:val="auto"/>
          <w:sz w:val="24"/>
        </w:rPr>
        <w:t xml:space="preserve">2.4 </w:t>
      </w:r>
      <w:r>
        <w:rPr>
          <w:rFonts w:hint="eastAsia" w:ascii="仿宋" w:hAnsi="仿宋" w:eastAsia="仿宋"/>
          <w:color w:val="auto"/>
          <w:sz w:val="24"/>
        </w:rPr>
        <w:t>供应商与采购人、其他供应商或者采购代理机构恶意串通的；</w:t>
      </w:r>
    </w:p>
    <w:p>
      <w:pPr>
        <w:snapToGrid w:val="0"/>
        <w:spacing w:line="500" w:lineRule="exact"/>
        <w:ind w:firstLine="480"/>
        <w:rPr>
          <w:rFonts w:ascii="仿宋" w:hAnsi="仿宋" w:eastAsia="仿宋"/>
          <w:color w:val="auto"/>
          <w:sz w:val="24"/>
        </w:rPr>
      </w:pPr>
      <w:r>
        <w:rPr>
          <w:rFonts w:ascii="仿宋" w:hAnsi="仿宋" w:eastAsia="仿宋"/>
          <w:color w:val="auto"/>
          <w:sz w:val="24"/>
        </w:rPr>
        <w:t xml:space="preserve">2.5 </w:t>
      </w:r>
      <w:r>
        <w:rPr>
          <w:rFonts w:hint="eastAsia" w:ascii="仿宋" w:hAnsi="仿宋" w:eastAsia="仿宋"/>
          <w:color w:val="auto"/>
          <w:sz w:val="24"/>
        </w:rPr>
        <w:t>成交供应商不按规定的时间或拒绝按成交状态签订合同（即不按照采购文件确定的合同文本以及采购标的、规格型号、采购金额、采购数量、技术和服务要求等事项签订采购合同的。）。</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（五）修正错误</w:t>
      </w:r>
    </w:p>
    <w:p>
      <w:pPr>
        <w:snapToGrid w:val="0"/>
        <w:spacing w:line="500" w:lineRule="exact"/>
        <w:ind w:firstLine="48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若供应商所递交的响应文件或最后报价中的价格出现大写金额和小写金额不一致的错误，以大写金额修正为准。</w:t>
      </w:r>
    </w:p>
    <w:p>
      <w:pPr>
        <w:snapToGrid w:val="0"/>
        <w:spacing w:line="500" w:lineRule="exact"/>
        <w:ind w:firstLine="48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（六）提交响应文件的份数和签署</w:t>
      </w:r>
    </w:p>
    <w:p>
      <w:pPr>
        <w:snapToGrid w:val="0"/>
        <w:spacing w:line="500" w:lineRule="exact"/>
        <w:ind w:firstLine="48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响应文件一式四份，其中正本一份，副本二份，电子文档一份；副本可为正本的复印件，应与正本一致，如出现不一致情况以正本为准。</w:t>
      </w:r>
    </w:p>
    <w:p>
      <w:pPr>
        <w:snapToGrid w:val="0"/>
        <w:spacing w:line="500" w:lineRule="exact"/>
        <w:ind w:firstLine="48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在响应文件正本中，竞争性磋商文件第七篇响应文件编制要求中规定签字、盖章的地方必须按其规定签字、盖章。</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（六）响应文件的递交</w:t>
      </w:r>
    </w:p>
    <w:p>
      <w:pPr>
        <w:snapToGrid w:val="0"/>
        <w:spacing w:line="500" w:lineRule="exact"/>
        <w:ind w:firstLine="48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响应文件的密封与标记</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响应文件的正本、副本均采用信封分别密封。信封上注明项目名称、供应商名称、</w:t>
      </w:r>
      <w:r>
        <w:rPr>
          <w:rFonts w:ascii="仿宋" w:hAnsi="仿宋" w:eastAsia="仿宋"/>
          <w:color w:val="auto"/>
          <w:sz w:val="24"/>
        </w:rPr>
        <w:t>“</w:t>
      </w:r>
      <w:r>
        <w:rPr>
          <w:rFonts w:hint="eastAsia" w:ascii="仿宋" w:hAnsi="仿宋" w:eastAsia="仿宋"/>
          <w:color w:val="auto"/>
          <w:sz w:val="24"/>
        </w:rPr>
        <w:t>正本</w:t>
      </w:r>
      <w:r>
        <w:rPr>
          <w:rFonts w:ascii="仿宋" w:hAnsi="仿宋" w:eastAsia="仿宋"/>
          <w:color w:val="auto"/>
          <w:sz w:val="24"/>
        </w:rPr>
        <w:t>”</w:t>
      </w:r>
      <w:r>
        <w:rPr>
          <w:rFonts w:hint="eastAsia" w:ascii="仿宋" w:hAnsi="仿宋" w:eastAsia="仿宋"/>
          <w:color w:val="auto"/>
          <w:sz w:val="24"/>
        </w:rPr>
        <w:t>、</w:t>
      </w:r>
      <w:r>
        <w:rPr>
          <w:rFonts w:ascii="仿宋" w:hAnsi="仿宋" w:eastAsia="仿宋"/>
          <w:color w:val="auto"/>
          <w:sz w:val="24"/>
        </w:rPr>
        <w:t>“</w:t>
      </w:r>
      <w:r>
        <w:rPr>
          <w:rFonts w:hint="eastAsia" w:ascii="仿宋" w:hAnsi="仿宋" w:eastAsia="仿宋"/>
          <w:color w:val="auto"/>
          <w:sz w:val="24"/>
        </w:rPr>
        <w:t>副本</w:t>
      </w:r>
      <w:r>
        <w:rPr>
          <w:rFonts w:ascii="仿宋" w:hAnsi="仿宋" w:eastAsia="仿宋"/>
          <w:color w:val="auto"/>
          <w:sz w:val="24"/>
        </w:rPr>
        <w:t>”</w:t>
      </w:r>
      <w:r>
        <w:rPr>
          <w:rFonts w:hint="eastAsia" w:ascii="仿宋" w:hAnsi="仿宋" w:eastAsia="仿宋"/>
          <w:color w:val="auto"/>
          <w:sz w:val="24"/>
        </w:rPr>
        <w:t>字样。信封的封口应加盖供应商公章或法人授权代表签字。</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响应文件的装订形式为胶装。</w:t>
      </w:r>
    </w:p>
    <w:p>
      <w:pPr>
        <w:snapToGrid w:val="0"/>
        <w:spacing w:line="500" w:lineRule="exact"/>
        <w:ind w:firstLine="48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响应文件递交截止时间：参阅采购邀请书。</w:t>
      </w:r>
    </w:p>
    <w:p>
      <w:pPr>
        <w:snapToGrid w:val="0"/>
        <w:spacing w:line="500" w:lineRule="exact"/>
        <w:ind w:firstLine="480"/>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响应文件语言：简体中文</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（七）供应商参与人员</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各个供应商可派</w:t>
      </w:r>
      <w:r>
        <w:rPr>
          <w:rFonts w:ascii="仿宋" w:hAnsi="仿宋" w:eastAsia="仿宋"/>
          <w:color w:val="auto"/>
          <w:sz w:val="24"/>
        </w:rPr>
        <w:t>1-2</w:t>
      </w:r>
      <w:r>
        <w:rPr>
          <w:rFonts w:hint="eastAsia" w:ascii="仿宋" w:hAnsi="仿宋" w:eastAsia="仿宋"/>
          <w:color w:val="auto"/>
          <w:sz w:val="24"/>
        </w:rPr>
        <w:t>名代表参与磋商，至少</w:t>
      </w:r>
      <w:r>
        <w:rPr>
          <w:rFonts w:ascii="仿宋" w:hAnsi="仿宋" w:eastAsia="仿宋"/>
          <w:color w:val="auto"/>
          <w:sz w:val="24"/>
        </w:rPr>
        <w:t>1</w:t>
      </w:r>
      <w:r>
        <w:rPr>
          <w:rFonts w:hint="eastAsia" w:ascii="仿宋" w:hAnsi="仿宋" w:eastAsia="仿宋"/>
          <w:color w:val="auto"/>
          <w:sz w:val="24"/>
        </w:rPr>
        <w:t>人应为法定代表人或具有法定代表人授权委托书的授权代表。</w:t>
      </w:r>
    </w:p>
    <w:p>
      <w:pPr>
        <w:keepNext/>
        <w:keepLines/>
        <w:snapToGrid w:val="0"/>
        <w:spacing w:line="500" w:lineRule="exact"/>
        <w:ind w:firstLine="482"/>
        <w:outlineLvl w:val="1"/>
        <w:rPr>
          <w:rFonts w:ascii="仿宋" w:hAnsi="仿宋" w:eastAsia="仿宋"/>
          <w:b/>
          <w:color w:val="auto"/>
          <w:sz w:val="28"/>
        </w:rPr>
      </w:pPr>
      <w:bookmarkStart w:id="20" w:name="_Toc4759"/>
      <w:r>
        <w:rPr>
          <w:rFonts w:hint="eastAsia" w:ascii="仿宋" w:hAnsi="仿宋" w:eastAsia="仿宋"/>
          <w:b/>
          <w:color w:val="auto"/>
          <w:sz w:val="28"/>
        </w:rPr>
        <w:t>二、成交通知</w:t>
      </w:r>
      <w:bookmarkEnd w:id="20"/>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（一）成交供应商确定后，采购代理机构将在“《行采家》（www.gec123.com）（http://www.cqggzy.com）”及重庆市住房和城乡建设技术发展中心（重庆市建筑节能中心）官网（http://www.jsfzzx.com/）上发布成交结果公告。</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（二）结果公告期结束后，采购代理机构将以书面形式发出《成交通知书》。《成交通知书》一经发出即发生法律效力。</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（三）《成交通知书》将作为签订合同的依据。</w:t>
      </w:r>
    </w:p>
    <w:p>
      <w:pPr>
        <w:keepNext/>
        <w:keepLines/>
        <w:snapToGrid w:val="0"/>
        <w:spacing w:line="500" w:lineRule="exact"/>
        <w:ind w:firstLine="482"/>
        <w:outlineLvl w:val="1"/>
        <w:rPr>
          <w:rFonts w:ascii="仿宋" w:hAnsi="仿宋" w:eastAsia="仿宋"/>
          <w:b/>
          <w:color w:val="auto"/>
          <w:sz w:val="28"/>
        </w:rPr>
      </w:pPr>
      <w:bookmarkStart w:id="21" w:name="_Toc16121"/>
      <w:r>
        <w:rPr>
          <w:rFonts w:hint="eastAsia" w:ascii="仿宋" w:hAnsi="仿宋" w:eastAsia="仿宋"/>
          <w:b/>
          <w:color w:val="auto"/>
          <w:sz w:val="28"/>
        </w:rPr>
        <w:t>三、签订合同</w:t>
      </w:r>
      <w:bookmarkEnd w:id="21"/>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（一）采购人与成交供应商应当在成交通知书发出之日起5日内，按照采购文件确定的合同文本以及采购标的、规格型号、采购金额、采购数量、技术和服务要求等事项签订采购合同。</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（二）竞争性磋商文件、成交供应商的响应文件及有效承诺文件等，均为签订合同的依据。</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（三）如成交供应商放弃成交项目或在签订合同时擅自改变成交状态的，采购人将按照相关法律法规处理。</w:t>
      </w:r>
    </w:p>
    <w:p>
      <w:pPr>
        <w:snapToGrid w:val="0"/>
        <w:spacing w:line="500" w:lineRule="exact"/>
        <w:ind w:firstLine="480"/>
        <w:rPr>
          <w:rFonts w:ascii="仿宋" w:hAnsi="仿宋" w:eastAsia="仿宋"/>
          <w:color w:val="auto"/>
          <w:sz w:val="24"/>
        </w:rPr>
      </w:pPr>
      <w:r>
        <w:rPr>
          <w:rFonts w:hint="eastAsia" w:ascii="仿宋" w:hAnsi="仿宋" w:eastAsia="仿宋"/>
          <w:color w:val="auto"/>
          <w:sz w:val="24"/>
        </w:rPr>
        <w:t>（四）除不可抗力等因素外，成交通知书发出后，成交供应商拒绝签订采购合同的，应当承担相应的法律责任。</w:t>
      </w:r>
    </w:p>
    <w:p>
      <w:pPr>
        <w:snapToGrid w:val="0"/>
        <w:spacing w:line="500" w:lineRule="exact"/>
        <w:ind w:firstLine="480"/>
        <w:rPr>
          <w:rFonts w:ascii="仿宋" w:hAnsi="仿宋" w:eastAsia="仿宋"/>
          <w:color w:val="auto"/>
          <w:sz w:val="24"/>
        </w:rPr>
      </w:pPr>
    </w:p>
    <w:p>
      <w:pPr>
        <w:keepNext/>
        <w:keepLines/>
        <w:pageBreakBefore/>
        <w:snapToGrid w:val="0"/>
        <w:spacing w:before="260" w:after="260" w:line="360" w:lineRule="auto"/>
        <w:jc w:val="center"/>
        <w:outlineLvl w:val="0"/>
        <w:rPr>
          <w:rFonts w:ascii="仿宋" w:hAnsi="仿宋" w:eastAsia="仿宋"/>
          <w:b/>
          <w:color w:val="auto"/>
          <w:sz w:val="32"/>
        </w:rPr>
      </w:pPr>
      <w:bookmarkStart w:id="22" w:name="_Toc16743"/>
      <w:bookmarkStart w:id="23" w:name="_Toc1330"/>
      <w:r>
        <w:rPr>
          <w:rFonts w:hint="eastAsia" w:ascii="仿宋" w:hAnsi="仿宋" w:eastAsia="仿宋"/>
          <w:b/>
          <w:color w:val="auto"/>
          <w:sz w:val="32"/>
        </w:rPr>
        <w:t>第六篇  合同草案条款（样本格式）</w:t>
      </w:r>
      <w:bookmarkEnd w:id="22"/>
      <w:bookmarkEnd w:id="23"/>
    </w:p>
    <w:p>
      <w:pPr>
        <w:spacing w:line="500" w:lineRule="exact"/>
        <w:ind w:firstLine="588"/>
        <w:rPr>
          <w:rFonts w:ascii="仿宋" w:hAnsi="仿宋" w:eastAsia="仿宋"/>
          <w:b/>
          <w:color w:val="auto"/>
          <w:sz w:val="24"/>
          <w:u w:val="single"/>
        </w:rPr>
      </w:pPr>
      <w:r>
        <w:rPr>
          <w:rFonts w:ascii="仿宋" w:hAnsi="仿宋" w:eastAsia="仿宋"/>
          <w:b/>
          <w:color w:val="auto"/>
          <w:sz w:val="24"/>
        </w:rPr>
        <w:t>甲方:</w:t>
      </w:r>
      <w:r>
        <w:rPr>
          <w:rFonts w:hint="eastAsia" w:ascii="仿宋" w:hAnsi="仿宋" w:eastAsia="仿宋"/>
          <w:b/>
          <w:color w:val="auto"/>
          <w:sz w:val="24"/>
          <w:u w:val="single"/>
        </w:rPr>
        <w:t>重庆市住房和城乡建设技术发展中心（重庆市建筑节能中心）</w:t>
      </w:r>
    </w:p>
    <w:p>
      <w:pPr>
        <w:spacing w:line="500" w:lineRule="exact"/>
        <w:ind w:firstLine="588"/>
        <w:rPr>
          <w:rFonts w:ascii="仿宋" w:hAnsi="仿宋" w:eastAsia="仿宋"/>
          <w:b/>
          <w:color w:val="auto"/>
          <w:sz w:val="24"/>
        </w:rPr>
      </w:pPr>
      <w:r>
        <w:rPr>
          <w:rFonts w:ascii="仿宋" w:hAnsi="仿宋" w:eastAsia="仿宋"/>
          <w:b/>
          <w:color w:val="auto"/>
          <w:sz w:val="24"/>
        </w:rPr>
        <w:t>乙方:</w:t>
      </w:r>
      <w:r>
        <w:rPr>
          <w:rFonts w:hint="eastAsia" w:ascii="仿宋" w:hAnsi="仿宋" w:eastAsia="仿宋"/>
          <w:b/>
          <w:color w:val="auto"/>
          <w:sz w:val="24"/>
          <w:u w:val="single"/>
          <w:lang w:val="en-US" w:eastAsia="zh-CN"/>
        </w:rPr>
        <w:t xml:space="preserve">                                                      </w:t>
      </w:r>
      <w:r>
        <w:rPr>
          <w:rFonts w:ascii="仿宋" w:hAnsi="仿宋" w:eastAsia="仿宋"/>
          <w:b/>
          <w:color w:val="auto"/>
          <w:sz w:val="24"/>
        </w:rPr>
        <w:t xml:space="preserve"> </w:t>
      </w:r>
    </w:p>
    <w:p>
      <w:pPr>
        <w:spacing w:line="500" w:lineRule="exact"/>
        <w:ind w:firstLine="480"/>
        <w:rPr>
          <w:rFonts w:ascii="仿宋" w:hAnsi="仿宋" w:eastAsia="仿宋"/>
          <w:color w:val="auto"/>
          <w:sz w:val="24"/>
        </w:rPr>
      </w:pPr>
      <w:r>
        <w:rPr>
          <w:rFonts w:hint="eastAsia" w:ascii="仿宋" w:hAnsi="仿宋" w:eastAsia="仿宋"/>
          <w:b/>
          <w:color w:val="auto"/>
          <w:sz w:val="24"/>
          <w:u w:val="single"/>
        </w:rPr>
        <w:t>兹有第二届川渝住房城乡建设博览会重庆主题展馆及序馆设计方案供应商备选入围项目</w:t>
      </w:r>
      <w:r>
        <w:rPr>
          <w:rFonts w:ascii="仿宋" w:hAnsi="仿宋" w:eastAsia="仿宋"/>
          <w:color w:val="auto"/>
          <w:sz w:val="24"/>
        </w:rPr>
        <w:t>，经过</w:t>
      </w:r>
      <w:r>
        <w:rPr>
          <w:rFonts w:hint="eastAsia" w:ascii="仿宋" w:hAnsi="仿宋" w:eastAsia="仿宋"/>
          <w:color w:val="auto"/>
          <w:sz w:val="24"/>
        </w:rPr>
        <w:t>磋商</w:t>
      </w:r>
      <w:r>
        <w:rPr>
          <w:rFonts w:ascii="仿宋" w:hAnsi="仿宋" w:eastAsia="仿宋"/>
          <w:color w:val="auto"/>
          <w:sz w:val="24"/>
        </w:rPr>
        <w:t>认定，决定由乙方</w:t>
      </w:r>
      <w:r>
        <w:rPr>
          <w:rFonts w:hint="eastAsia" w:ascii="仿宋" w:hAnsi="仿宋" w:eastAsia="仿宋"/>
          <w:color w:val="auto"/>
          <w:sz w:val="24"/>
        </w:rPr>
        <w:t>策划设计</w:t>
      </w:r>
      <w:r>
        <w:rPr>
          <w:rFonts w:ascii="仿宋" w:hAnsi="仿宋" w:eastAsia="仿宋"/>
          <w:color w:val="auto"/>
          <w:sz w:val="24"/>
        </w:rPr>
        <w:t>，根据《中华人民共和国</w:t>
      </w:r>
      <w:r>
        <w:rPr>
          <w:rFonts w:hint="eastAsia" w:ascii="仿宋" w:hAnsi="仿宋" w:eastAsia="仿宋"/>
          <w:color w:val="auto"/>
          <w:sz w:val="24"/>
        </w:rPr>
        <w:t>民法典</w:t>
      </w:r>
      <w:r>
        <w:rPr>
          <w:rFonts w:ascii="仿宋" w:hAnsi="仿宋" w:eastAsia="仿宋"/>
          <w:color w:val="auto"/>
          <w:sz w:val="24"/>
        </w:rPr>
        <w:t>》规定，结合本</w:t>
      </w:r>
      <w:r>
        <w:rPr>
          <w:rFonts w:hint="eastAsia" w:ascii="仿宋" w:hAnsi="仿宋" w:eastAsia="仿宋"/>
          <w:color w:val="auto"/>
          <w:sz w:val="24"/>
        </w:rPr>
        <w:t>项目</w:t>
      </w:r>
      <w:r>
        <w:rPr>
          <w:rFonts w:ascii="仿宋" w:hAnsi="仿宋" w:eastAsia="仿宋"/>
          <w:color w:val="auto"/>
          <w:sz w:val="24"/>
        </w:rPr>
        <w:t>的情况</w:t>
      </w:r>
      <w:r>
        <w:rPr>
          <w:rFonts w:hint="eastAsia" w:ascii="仿宋" w:hAnsi="仿宋" w:eastAsia="仿宋"/>
          <w:color w:val="auto"/>
          <w:sz w:val="24"/>
        </w:rPr>
        <w:t>，</w:t>
      </w:r>
      <w:r>
        <w:rPr>
          <w:rFonts w:ascii="仿宋" w:hAnsi="仿宋" w:eastAsia="仿宋"/>
          <w:color w:val="auto"/>
          <w:sz w:val="24"/>
        </w:rPr>
        <w:t>为了明确项目及双方责任本着互相协作，确保</w:t>
      </w:r>
      <w:r>
        <w:rPr>
          <w:rFonts w:hint="eastAsia" w:ascii="仿宋" w:hAnsi="仿宋" w:eastAsia="仿宋"/>
          <w:color w:val="auto"/>
          <w:sz w:val="24"/>
        </w:rPr>
        <w:t>搭建</w:t>
      </w:r>
      <w:r>
        <w:rPr>
          <w:rFonts w:ascii="仿宋" w:hAnsi="仿宋" w:eastAsia="仿宋"/>
          <w:color w:val="auto"/>
          <w:sz w:val="24"/>
        </w:rPr>
        <w:t>项目顺利完成的原则，经友好协商，签订本合同。</w:t>
      </w:r>
    </w:p>
    <w:p>
      <w:pPr>
        <w:spacing w:line="500" w:lineRule="exact"/>
        <w:ind w:firstLine="480"/>
        <w:rPr>
          <w:rFonts w:ascii="仿宋" w:hAnsi="仿宋" w:eastAsia="仿宋"/>
          <w:color w:val="auto"/>
          <w:sz w:val="24"/>
        </w:rPr>
      </w:pPr>
    </w:p>
    <w:p>
      <w:pPr>
        <w:snapToGrid w:val="0"/>
        <w:spacing w:line="500" w:lineRule="exact"/>
        <w:ind w:firstLine="480"/>
        <w:rPr>
          <w:rFonts w:ascii="仿宋" w:hAnsi="仿宋" w:eastAsia="仿宋"/>
          <w:b/>
          <w:color w:val="auto"/>
          <w:sz w:val="24"/>
        </w:rPr>
      </w:pPr>
      <w:r>
        <w:rPr>
          <w:rFonts w:ascii="仿宋" w:hAnsi="仿宋" w:eastAsia="仿宋"/>
          <w:color w:val="auto"/>
          <w:sz w:val="24"/>
        </w:rPr>
        <w:t>第一条：</w:t>
      </w:r>
      <w:r>
        <w:rPr>
          <w:rFonts w:hint="eastAsia" w:ascii="仿宋" w:hAnsi="仿宋" w:eastAsia="仿宋"/>
          <w:color w:val="auto"/>
          <w:sz w:val="24"/>
        </w:rPr>
        <w:t>项目</w:t>
      </w:r>
      <w:r>
        <w:rPr>
          <w:rFonts w:ascii="仿宋" w:hAnsi="仿宋" w:eastAsia="仿宋"/>
          <w:color w:val="auto"/>
          <w:sz w:val="24"/>
        </w:rPr>
        <w:t>内容:</w:t>
      </w:r>
      <w:r>
        <w:rPr>
          <w:rFonts w:hint="eastAsia" w:ascii="仿宋" w:hAnsi="仿宋" w:eastAsia="仿宋"/>
          <w:b/>
          <w:color w:val="auto"/>
          <w:sz w:val="24"/>
          <w:u w:val="single"/>
        </w:rPr>
        <w:t>兹有第二届川渝住房城乡建设博览会重庆主题展馆及序馆设计方案供应商备选入围项目，包括但不限于：</w:t>
      </w:r>
      <w:r>
        <w:rPr>
          <w:rFonts w:ascii="仿宋" w:hAnsi="仿宋" w:eastAsia="仿宋"/>
          <w:b/>
          <w:color w:val="auto"/>
          <w:sz w:val="24"/>
          <w:u w:val="single"/>
        </w:rPr>
        <w:t>1、总体创意策划、初步及详细方案设计，涵盖展厅外观设计、平面布局设计、</w:t>
      </w:r>
      <w:r>
        <w:rPr>
          <w:rFonts w:hint="eastAsia" w:ascii="仿宋" w:hAnsi="仿宋" w:eastAsia="仿宋"/>
          <w:b/>
          <w:color w:val="auto"/>
          <w:sz w:val="24"/>
          <w:u w:val="single"/>
        </w:rPr>
        <w:t>空间效果图设计、</w:t>
      </w:r>
      <w:r>
        <w:rPr>
          <w:rFonts w:ascii="仿宋" w:hAnsi="仿宋" w:eastAsia="仿宋"/>
          <w:b/>
          <w:color w:val="auto"/>
          <w:sz w:val="24"/>
          <w:u w:val="single"/>
        </w:rPr>
        <w:t>立面设计和展示墙样板设计</w:t>
      </w:r>
      <w:r>
        <w:rPr>
          <w:rFonts w:hint="eastAsia" w:ascii="仿宋" w:hAnsi="仿宋" w:eastAsia="仿宋"/>
          <w:b/>
          <w:color w:val="auto"/>
          <w:sz w:val="24"/>
          <w:u w:val="single"/>
        </w:rPr>
        <w:t>、</w:t>
      </w:r>
      <w:r>
        <w:rPr>
          <w:rFonts w:hint="eastAsia" w:ascii="仿宋" w:hAnsi="仿宋" w:eastAsia="仿宋"/>
          <w:b/>
          <w:color w:val="auto"/>
          <w:sz w:val="24"/>
          <w:u w:val="single"/>
          <w:lang w:val="en-US" w:eastAsia="zh-CN"/>
        </w:rPr>
        <w:t>施工图深度优化、</w:t>
      </w:r>
      <w:r>
        <w:rPr>
          <w:rFonts w:ascii="仿宋" w:hAnsi="仿宋" w:eastAsia="仿宋"/>
          <w:b/>
          <w:color w:val="auto"/>
          <w:sz w:val="24"/>
          <w:u w:val="single"/>
        </w:rPr>
        <w:t>设计</w:t>
      </w:r>
      <w:r>
        <w:rPr>
          <w:rFonts w:hint="eastAsia" w:ascii="仿宋" w:hAnsi="仿宋" w:eastAsia="仿宋"/>
          <w:b/>
          <w:color w:val="auto"/>
          <w:sz w:val="24"/>
          <w:u w:val="single"/>
          <w:lang w:val="en-US" w:eastAsia="zh-CN"/>
        </w:rPr>
        <w:t>方案</w:t>
      </w:r>
      <w:r>
        <w:rPr>
          <w:rFonts w:ascii="仿宋" w:hAnsi="仿宋" w:eastAsia="仿宋"/>
          <w:b/>
          <w:color w:val="auto"/>
          <w:sz w:val="24"/>
          <w:u w:val="single"/>
        </w:rPr>
        <w:t>概</w:t>
      </w:r>
      <w:r>
        <w:rPr>
          <w:rFonts w:hint="eastAsia" w:ascii="仿宋" w:hAnsi="仿宋" w:eastAsia="仿宋"/>
          <w:b/>
          <w:color w:val="auto"/>
          <w:sz w:val="24"/>
          <w:u w:val="single"/>
        </w:rPr>
        <w:t>（</w:t>
      </w:r>
      <w:r>
        <w:rPr>
          <w:rFonts w:ascii="仿宋" w:hAnsi="仿宋" w:eastAsia="仿宋"/>
          <w:b/>
          <w:color w:val="auto"/>
          <w:sz w:val="24"/>
          <w:u w:val="single"/>
        </w:rPr>
        <w:t>预</w:t>
      </w:r>
      <w:r>
        <w:rPr>
          <w:rFonts w:hint="eastAsia" w:ascii="仿宋" w:hAnsi="仿宋" w:eastAsia="仿宋"/>
          <w:b/>
          <w:color w:val="auto"/>
          <w:sz w:val="24"/>
          <w:u w:val="single"/>
        </w:rPr>
        <w:t>）</w:t>
      </w:r>
      <w:r>
        <w:rPr>
          <w:rFonts w:ascii="仿宋" w:hAnsi="仿宋" w:eastAsia="仿宋"/>
          <w:b/>
          <w:color w:val="auto"/>
          <w:sz w:val="24"/>
          <w:u w:val="single"/>
        </w:rPr>
        <w:t>算的编制等。2、基于设计方案的观展动线、展示方式设计等。</w:t>
      </w:r>
      <w:r>
        <w:rPr>
          <w:rFonts w:ascii="仿宋" w:hAnsi="仿宋" w:eastAsia="仿宋"/>
          <w:b/>
          <w:color w:val="auto"/>
          <w:sz w:val="24"/>
        </w:rPr>
        <w:tab/>
      </w:r>
    </w:p>
    <w:p>
      <w:pPr>
        <w:spacing w:line="500" w:lineRule="exact"/>
        <w:ind w:firstLine="480"/>
        <w:rPr>
          <w:rFonts w:ascii="仿宋" w:hAnsi="仿宋" w:eastAsia="仿宋"/>
          <w:b/>
          <w:color w:val="auto"/>
          <w:sz w:val="24"/>
          <w:u w:val="single"/>
        </w:rPr>
      </w:pPr>
      <w:r>
        <w:rPr>
          <w:rFonts w:ascii="仿宋" w:hAnsi="仿宋" w:eastAsia="仿宋"/>
          <w:color w:val="auto"/>
          <w:sz w:val="24"/>
        </w:rPr>
        <w:t>第二条：</w:t>
      </w:r>
      <w:r>
        <w:rPr>
          <w:rFonts w:hint="eastAsia" w:ascii="仿宋" w:hAnsi="仿宋" w:eastAsia="仿宋"/>
          <w:color w:val="auto"/>
          <w:sz w:val="24"/>
        </w:rPr>
        <w:t>服务</w:t>
      </w:r>
      <w:r>
        <w:rPr>
          <w:rFonts w:ascii="仿宋" w:hAnsi="仿宋" w:eastAsia="仿宋"/>
          <w:color w:val="auto"/>
          <w:sz w:val="24"/>
        </w:rPr>
        <w:t>日期：</w:t>
      </w:r>
      <w:r>
        <w:rPr>
          <w:rFonts w:hint="eastAsia" w:ascii="仿宋" w:hAnsi="仿宋" w:eastAsia="仿宋"/>
          <w:b/>
          <w:color w:val="auto"/>
          <w:sz w:val="24"/>
          <w:u w:val="single"/>
        </w:rPr>
        <w:t xml:space="preserve">合同签订后至展会撤展结束 </w:t>
      </w:r>
    </w:p>
    <w:p>
      <w:pPr>
        <w:spacing w:line="500" w:lineRule="exact"/>
        <w:ind w:firstLine="480"/>
        <w:rPr>
          <w:rFonts w:ascii="仿宋" w:hAnsi="仿宋" w:eastAsia="仿宋"/>
          <w:b/>
          <w:color w:val="auto"/>
          <w:sz w:val="24"/>
          <w:u w:val="single"/>
        </w:rPr>
      </w:pPr>
      <w:r>
        <w:rPr>
          <w:rFonts w:ascii="仿宋" w:hAnsi="仿宋" w:eastAsia="仿宋"/>
          <w:color w:val="auto"/>
          <w:sz w:val="24"/>
        </w:rPr>
        <w:t>第三条：</w:t>
      </w:r>
      <w:r>
        <w:rPr>
          <w:rFonts w:hint="eastAsia" w:ascii="仿宋" w:hAnsi="仿宋" w:eastAsia="仿宋"/>
          <w:color w:val="auto"/>
          <w:sz w:val="24"/>
        </w:rPr>
        <w:t>展会</w:t>
      </w:r>
      <w:r>
        <w:rPr>
          <w:rFonts w:ascii="仿宋" w:hAnsi="仿宋" w:eastAsia="仿宋"/>
          <w:color w:val="auto"/>
          <w:sz w:val="24"/>
        </w:rPr>
        <w:t>地点：</w:t>
      </w:r>
      <w:r>
        <w:rPr>
          <w:rFonts w:hint="eastAsia" w:ascii="仿宋" w:hAnsi="仿宋" w:eastAsia="仿宋"/>
          <w:b/>
          <w:color w:val="auto"/>
          <w:sz w:val="24"/>
          <w:u w:val="single"/>
        </w:rPr>
        <w:t xml:space="preserve">重庆国际会议展览中心（江南大道2号） </w:t>
      </w:r>
    </w:p>
    <w:p>
      <w:pPr>
        <w:spacing w:line="500" w:lineRule="exact"/>
        <w:ind w:firstLine="480"/>
        <w:rPr>
          <w:rFonts w:ascii="仿宋" w:hAnsi="仿宋" w:eastAsia="仿宋"/>
          <w:color w:val="auto"/>
          <w:sz w:val="24"/>
        </w:rPr>
      </w:pPr>
      <w:r>
        <w:rPr>
          <w:rFonts w:ascii="仿宋" w:hAnsi="仿宋" w:eastAsia="仿宋"/>
          <w:color w:val="auto"/>
          <w:sz w:val="24"/>
        </w:rPr>
        <w:t>第四条：</w:t>
      </w:r>
      <w:r>
        <w:rPr>
          <w:rFonts w:hint="eastAsia" w:ascii="仿宋" w:hAnsi="仿宋" w:eastAsia="仿宋"/>
          <w:color w:val="auto"/>
          <w:sz w:val="24"/>
        </w:rPr>
        <w:t>项目</w:t>
      </w:r>
      <w:r>
        <w:rPr>
          <w:rFonts w:ascii="仿宋" w:hAnsi="仿宋" w:eastAsia="仿宋"/>
          <w:color w:val="auto"/>
          <w:sz w:val="24"/>
        </w:rPr>
        <w:t>价款：</w:t>
      </w:r>
    </w:p>
    <w:p>
      <w:pPr>
        <w:spacing w:line="500" w:lineRule="exact"/>
        <w:ind w:firstLine="480"/>
        <w:rPr>
          <w:rFonts w:ascii="仿宋" w:hAnsi="仿宋" w:eastAsia="仿宋"/>
          <w:color w:val="auto"/>
          <w:sz w:val="24"/>
        </w:rPr>
      </w:pPr>
      <w:r>
        <w:rPr>
          <w:rFonts w:ascii="仿宋" w:hAnsi="仿宋" w:eastAsia="仿宋"/>
          <w:color w:val="auto"/>
          <w:sz w:val="24"/>
        </w:rPr>
        <w:t>按双方审核同意的图纸项目内容及</w:t>
      </w:r>
      <w:r>
        <w:rPr>
          <w:rFonts w:hint="eastAsia" w:ascii="仿宋" w:hAnsi="仿宋" w:eastAsia="仿宋"/>
          <w:color w:val="auto"/>
          <w:sz w:val="24"/>
        </w:rPr>
        <w:t>项目合同</w:t>
      </w:r>
      <w:r>
        <w:rPr>
          <w:rFonts w:ascii="仿宋" w:hAnsi="仿宋" w:eastAsia="仿宋"/>
          <w:color w:val="auto"/>
          <w:sz w:val="24"/>
        </w:rPr>
        <w:t>价，人民币总价为￥</w:t>
      </w:r>
      <w:r>
        <w:rPr>
          <w:rFonts w:hint="eastAsia" w:ascii="仿宋" w:hAnsi="仿宋" w:eastAsia="仿宋"/>
          <w:color w:val="auto"/>
          <w:sz w:val="24"/>
          <w:u w:val="single"/>
          <w:lang w:val="en-US" w:eastAsia="zh-CN"/>
        </w:rPr>
        <w:t xml:space="preserve">    </w:t>
      </w:r>
      <w:r>
        <w:rPr>
          <w:rFonts w:ascii="仿宋" w:hAnsi="仿宋" w:eastAsia="仿宋"/>
          <w:color w:val="auto"/>
          <w:sz w:val="24"/>
        </w:rPr>
        <w:t>元，大写：</w:t>
      </w:r>
      <w:r>
        <w:rPr>
          <w:rFonts w:hint="eastAsia" w:ascii="仿宋" w:hAnsi="仿宋" w:eastAsia="仿宋"/>
          <w:color w:val="auto"/>
          <w:sz w:val="24"/>
          <w:u w:val="single"/>
          <w:lang w:val="en-US" w:eastAsia="zh-CN"/>
        </w:rPr>
        <w:t xml:space="preserve">  </w:t>
      </w:r>
      <w:r>
        <w:rPr>
          <w:rFonts w:ascii="仿宋" w:hAnsi="仿宋" w:eastAsia="仿宋"/>
          <w:color w:val="auto"/>
          <w:sz w:val="24"/>
        </w:rPr>
        <w:t>拾万</w:t>
      </w:r>
      <w:r>
        <w:rPr>
          <w:rFonts w:hint="eastAsia" w:ascii="仿宋" w:hAnsi="仿宋" w:eastAsia="仿宋"/>
          <w:color w:val="auto"/>
          <w:sz w:val="24"/>
          <w:u w:val="single"/>
          <w:lang w:val="en-US" w:eastAsia="zh-CN"/>
        </w:rPr>
        <w:t xml:space="preserve">  </w:t>
      </w:r>
      <w:r>
        <w:rPr>
          <w:rFonts w:ascii="仿宋" w:hAnsi="仿宋" w:eastAsia="仿宋"/>
          <w:color w:val="auto"/>
          <w:sz w:val="24"/>
        </w:rPr>
        <w:t>仟</w:t>
      </w:r>
      <w:r>
        <w:rPr>
          <w:rFonts w:hint="eastAsia" w:ascii="仿宋" w:hAnsi="仿宋" w:eastAsia="仿宋"/>
          <w:color w:val="auto"/>
          <w:sz w:val="24"/>
          <w:u w:val="single"/>
          <w:lang w:val="en-US" w:eastAsia="zh-CN"/>
        </w:rPr>
        <w:t xml:space="preserve">  </w:t>
      </w:r>
      <w:r>
        <w:rPr>
          <w:rFonts w:ascii="仿宋" w:hAnsi="仿宋" w:eastAsia="仿宋"/>
          <w:color w:val="auto"/>
          <w:sz w:val="24"/>
        </w:rPr>
        <w:t>佰</w:t>
      </w:r>
      <w:r>
        <w:rPr>
          <w:rFonts w:hint="eastAsia" w:ascii="仿宋" w:hAnsi="仿宋" w:eastAsia="仿宋"/>
          <w:color w:val="auto"/>
          <w:sz w:val="24"/>
          <w:u w:val="single"/>
          <w:lang w:val="en-US" w:eastAsia="zh-CN"/>
        </w:rPr>
        <w:t xml:space="preserve">  </w:t>
      </w:r>
      <w:r>
        <w:rPr>
          <w:rFonts w:ascii="仿宋" w:hAnsi="仿宋" w:eastAsia="仿宋"/>
          <w:color w:val="auto"/>
          <w:sz w:val="24"/>
        </w:rPr>
        <w:t>元整。</w:t>
      </w:r>
    </w:p>
    <w:p>
      <w:pPr>
        <w:snapToGrid w:val="0"/>
        <w:spacing w:line="500" w:lineRule="exact"/>
        <w:ind w:firstLine="480"/>
        <w:rPr>
          <w:rFonts w:ascii="仿宋" w:hAnsi="仿宋" w:eastAsia="仿宋"/>
          <w:color w:val="auto"/>
          <w:sz w:val="24"/>
          <w:highlight w:val="yellow"/>
          <w:u w:val="single"/>
        </w:rPr>
      </w:pPr>
      <w:r>
        <w:rPr>
          <w:rFonts w:ascii="仿宋" w:hAnsi="仿宋" w:eastAsia="仿宋"/>
          <w:color w:val="auto"/>
          <w:sz w:val="24"/>
        </w:rPr>
        <w:t>第五条：承包方式：</w:t>
      </w:r>
      <w:r>
        <w:rPr>
          <w:rFonts w:hint="eastAsia" w:ascii="仿宋" w:hAnsi="仿宋" w:eastAsia="仿宋"/>
          <w:b/>
          <w:color w:val="auto"/>
          <w:sz w:val="24"/>
          <w:u w:val="single"/>
        </w:rPr>
        <w:t>固定总价合同，结算总价=签约合同价，</w:t>
      </w:r>
      <w:r>
        <w:rPr>
          <w:rFonts w:ascii="仿宋" w:hAnsi="仿宋" w:eastAsia="仿宋"/>
          <w:b/>
          <w:color w:val="auto"/>
          <w:sz w:val="24"/>
          <w:u w:val="single"/>
        </w:rPr>
        <w:t>因</w:t>
      </w:r>
      <w:r>
        <w:rPr>
          <w:rFonts w:hint="eastAsia" w:ascii="仿宋" w:hAnsi="仿宋" w:eastAsia="仿宋"/>
          <w:b/>
          <w:color w:val="auto"/>
          <w:sz w:val="24"/>
          <w:u w:val="single"/>
        </w:rPr>
        <w:t>乙方</w:t>
      </w:r>
      <w:r>
        <w:rPr>
          <w:rFonts w:ascii="仿宋" w:hAnsi="仿宋" w:eastAsia="仿宋"/>
          <w:b/>
          <w:color w:val="auto"/>
          <w:sz w:val="24"/>
          <w:u w:val="single"/>
        </w:rPr>
        <w:t>自身原因造成漏报、少报皆由其自行承担责任，</w:t>
      </w:r>
      <w:r>
        <w:rPr>
          <w:rFonts w:hint="eastAsia" w:ascii="仿宋" w:hAnsi="仿宋" w:eastAsia="仿宋"/>
          <w:b/>
          <w:color w:val="auto"/>
          <w:sz w:val="24"/>
          <w:u w:val="single"/>
        </w:rPr>
        <w:t>甲方</w:t>
      </w:r>
      <w:r>
        <w:rPr>
          <w:rFonts w:ascii="仿宋" w:hAnsi="仿宋" w:eastAsia="仿宋"/>
          <w:b/>
          <w:color w:val="auto"/>
          <w:sz w:val="24"/>
          <w:u w:val="single"/>
        </w:rPr>
        <w:t>不再补偿</w:t>
      </w:r>
      <w:r>
        <w:rPr>
          <w:rFonts w:hint="eastAsia" w:ascii="仿宋" w:hAnsi="仿宋" w:eastAsia="仿宋"/>
          <w:b/>
          <w:color w:val="auto"/>
          <w:sz w:val="24"/>
          <w:u w:val="single"/>
        </w:rPr>
        <w:t>任何费用</w:t>
      </w:r>
      <w:r>
        <w:rPr>
          <w:rFonts w:ascii="仿宋" w:hAnsi="仿宋" w:eastAsia="仿宋"/>
          <w:b/>
          <w:color w:val="auto"/>
          <w:sz w:val="24"/>
          <w:u w:val="single"/>
        </w:rPr>
        <w:t>。</w:t>
      </w:r>
    </w:p>
    <w:p>
      <w:pPr>
        <w:spacing w:line="500" w:lineRule="exact"/>
        <w:ind w:firstLine="240"/>
        <w:rPr>
          <w:rFonts w:ascii="仿宋" w:hAnsi="仿宋" w:eastAsia="仿宋"/>
          <w:color w:val="auto"/>
          <w:sz w:val="24"/>
        </w:rPr>
      </w:pPr>
      <w:r>
        <w:rPr>
          <w:rFonts w:ascii="仿宋" w:hAnsi="仿宋" w:eastAsia="仿宋"/>
          <w:color w:val="auto"/>
          <w:sz w:val="24"/>
        </w:rPr>
        <w:t>第六条：付款方式及结算：</w:t>
      </w:r>
    </w:p>
    <w:p>
      <w:pPr>
        <w:snapToGrid w:val="0"/>
        <w:spacing w:line="500" w:lineRule="exact"/>
        <w:ind w:firstLine="480" w:firstLineChars="200"/>
        <w:rPr>
          <w:rFonts w:ascii="仿宋" w:hAnsi="仿宋" w:eastAsia="仿宋"/>
          <w:color w:val="auto"/>
          <w:sz w:val="24"/>
          <w:u w:val="single"/>
        </w:rPr>
      </w:pPr>
      <w:r>
        <w:rPr>
          <w:rFonts w:hint="eastAsia" w:ascii="仿宋" w:hAnsi="仿宋" w:eastAsia="仿宋"/>
          <w:color w:val="auto"/>
          <w:sz w:val="24"/>
          <w:u w:val="single"/>
        </w:rPr>
        <w:t>（一）乙方提供整体设计方案并经甲方审核通过后，乙方向甲方提供合同总额</w:t>
      </w:r>
      <w:r>
        <w:rPr>
          <w:rFonts w:hint="eastAsia" w:ascii="仿宋" w:hAnsi="仿宋" w:eastAsia="仿宋"/>
          <w:color w:val="auto"/>
          <w:sz w:val="24"/>
          <w:u w:val="single"/>
          <w:lang w:val="en-US" w:eastAsia="zh-CN"/>
        </w:rPr>
        <w:t>50</w:t>
      </w:r>
      <w:r>
        <w:rPr>
          <w:rFonts w:hint="eastAsia" w:ascii="仿宋" w:hAnsi="仿宋" w:eastAsia="仿宋"/>
          <w:color w:val="auto"/>
          <w:sz w:val="24"/>
          <w:u w:val="single"/>
        </w:rPr>
        <w:t>％的增值税发票；甲方按资金审批流程于15个工作日内支付合同总额的</w:t>
      </w:r>
      <w:r>
        <w:rPr>
          <w:rFonts w:hint="eastAsia" w:ascii="仿宋" w:hAnsi="仿宋" w:eastAsia="仿宋"/>
          <w:color w:val="auto"/>
          <w:sz w:val="24"/>
          <w:u w:val="single"/>
          <w:lang w:val="en-US" w:eastAsia="zh-CN"/>
        </w:rPr>
        <w:t>50</w:t>
      </w:r>
      <w:r>
        <w:rPr>
          <w:rFonts w:hint="eastAsia" w:ascii="仿宋" w:hAnsi="仿宋" w:eastAsia="仿宋"/>
          <w:color w:val="auto"/>
          <w:sz w:val="24"/>
          <w:u w:val="single"/>
        </w:rPr>
        <w:t>％。</w:t>
      </w:r>
    </w:p>
    <w:p>
      <w:pPr>
        <w:snapToGrid w:val="0"/>
        <w:spacing w:line="500" w:lineRule="exact"/>
        <w:ind w:firstLine="480"/>
        <w:rPr>
          <w:rFonts w:ascii="仿宋" w:hAnsi="仿宋" w:eastAsia="仿宋"/>
          <w:color w:val="auto"/>
          <w:sz w:val="24"/>
          <w:u w:val="single"/>
        </w:rPr>
      </w:pPr>
      <w:r>
        <w:rPr>
          <w:rFonts w:hint="eastAsia" w:ascii="仿宋" w:hAnsi="仿宋" w:eastAsia="仿宋"/>
          <w:color w:val="auto"/>
          <w:sz w:val="24"/>
          <w:u w:val="single"/>
        </w:rPr>
        <w:t>（二）乙方按采购合同完成所有工作内容、提交项目成果资料（包括但不限于文字资料、图片资料、影像资料、图纸等）且展会结束后，乙方根据合同金额提供剩余应付金额足额增值税发票；甲方按资金审批流程于15个工作日内支付剩余合同总额的</w:t>
      </w:r>
      <w:r>
        <w:rPr>
          <w:rFonts w:hint="eastAsia" w:ascii="仿宋" w:hAnsi="仿宋" w:eastAsia="仿宋"/>
          <w:color w:val="auto"/>
          <w:sz w:val="24"/>
          <w:u w:val="single"/>
          <w:lang w:val="en-US" w:eastAsia="zh-CN"/>
        </w:rPr>
        <w:t>5</w:t>
      </w:r>
      <w:r>
        <w:rPr>
          <w:rFonts w:hint="eastAsia" w:ascii="仿宋" w:hAnsi="仿宋" w:eastAsia="仿宋"/>
          <w:color w:val="auto"/>
          <w:sz w:val="24"/>
          <w:u w:val="single"/>
        </w:rPr>
        <w:t>0%。</w:t>
      </w:r>
    </w:p>
    <w:p>
      <w:pPr>
        <w:spacing w:line="500" w:lineRule="exact"/>
        <w:ind w:firstLine="480"/>
        <w:rPr>
          <w:rFonts w:ascii="仿宋" w:hAnsi="仿宋" w:eastAsia="仿宋"/>
          <w:color w:val="auto"/>
          <w:sz w:val="24"/>
        </w:rPr>
      </w:pPr>
      <w:r>
        <w:rPr>
          <w:rFonts w:ascii="仿宋" w:hAnsi="仿宋" w:eastAsia="仿宋"/>
          <w:color w:val="auto"/>
          <w:sz w:val="24"/>
        </w:rPr>
        <w:t>第七条：</w:t>
      </w:r>
      <w:r>
        <w:rPr>
          <w:rFonts w:hint="eastAsia" w:ascii="仿宋" w:hAnsi="仿宋" w:eastAsia="仿宋"/>
          <w:color w:val="auto"/>
          <w:sz w:val="24"/>
        </w:rPr>
        <w:t>项目</w:t>
      </w:r>
      <w:r>
        <w:rPr>
          <w:rFonts w:ascii="仿宋" w:hAnsi="仿宋" w:eastAsia="仿宋"/>
          <w:color w:val="auto"/>
          <w:sz w:val="24"/>
        </w:rPr>
        <w:t>质量要求：</w:t>
      </w:r>
      <w:r>
        <w:rPr>
          <w:rFonts w:ascii="仿宋" w:hAnsi="仿宋" w:eastAsia="仿宋"/>
          <w:color w:val="auto"/>
          <w:sz w:val="24"/>
        </w:rPr>
        <w:tab/>
      </w:r>
    </w:p>
    <w:p>
      <w:pPr>
        <w:tabs>
          <w:tab w:val="left" w:pos="6645"/>
          <w:tab w:val="right" w:pos="8306"/>
        </w:tabs>
        <w:spacing w:line="500" w:lineRule="exact"/>
        <w:ind w:left="200" w:firstLine="360"/>
        <w:rPr>
          <w:rFonts w:ascii="仿宋" w:hAnsi="仿宋" w:eastAsia="仿宋"/>
          <w:color w:val="auto"/>
          <w:sz w:val="24"/>
        </w:rPr>
      </w:pPr>
      <w:r>
        <w:rPr>
          <w:rFonts w:ascii="仿宋" w:hAnsi="仿宋" w:eastAsia="仿宋"/>
          <w:color w:val="auto"/>
          <w:sz w:val="24"/>
        </w:rPr>
        <w:t>乙方必须按</w:t>
      </w:r>
      <w:r>
        <w:rPr>
          <w:rFonts w:hint="eastAsia" w:ascii="仿宋" w:hAnsi="仿宋" w:eastAsia="仿宋"/>
          <w:color w:val="auto"/>
          <w:sz w:val="24"/>
        </w:rPr>
        <w:t>国家相关规范出具</w:t>
      </w:r>
      <w:r>
        <w:rPr>
          <w:rFonts w:ascii="仿宋" w:hAnsi="仿宋" w:eastAsia="仿宋"/>
          <w:color w:val="auto"/>
          <w:sz w:val="24"/>
        </w:rPr>
        <w:t>设计方案，保证</w:t>
      </w:r>
      <w:r>
        <w:rPr>
          <w:rFonts w:hint="eastAsia" w:ascii="仿宋" w:hAnsi="仿宋" w:eastAsia="仿宋"/>
          <w:color w:val="auto"/>
          <w:sz w:val="24"/>
        </w:rPr>
        <w:t>项目</w:t>
      </w:r>
      <w:r>
        <w:rPr>
          <w:rFonts w:ascii="仿宋" w:hAnsi="仿宋" w:eastAsia="仿宋"/>
          <w:color w:val="auto"/>
          <w:sz w:val="24"/>
        </w:rPr>
        <w:t>质量。</w:t>
      </w:r>
    </w:p>
    <w:p>
      <w:pPr>
        <w:tabs>
          <w:tab w:val="left" w:pos="7275"/>
        </w:tabs>
        <w:spacing w:line="500" w:lineRule="exact"/>
        <w:ind w:firstLine="480"/>
        <w:rPr>
          <w:rFonts w:ascii="仿宋" w:hAnsi="仿宋" w:eastAsia="仿宋"/>
          <w:color w:val="auto"/>
          <w:sz w:val="24"/>
        </w:rPr>
      </w:pPr>
      <w:r>
        <w:rPr>
          <w:rFonts w:ascii="仿宋" w:hAnsi="仿宋" w:eastAsia="仿宋"/>
          <w:color w:val="auto"/>
          <w:sz w:val="24"/>
        </w:rPr>
        <w:t>第八条：责任范围：</w:t>
      </w:r>
      <w:r>
        <w:rPr>
          <w:rFonts w:ascii="仿宋" w:hAnsi="仿宋" w:eastAsia="仿宋"/>
          <w:color w:val="auto"/>
          <w:sz w:val="24"/>
        </w:rPr>
        <w:tab/>
      </w:r>
    </w:p>
    <w:p>
      <w:pPr>
        <w:spacing w:line="500" w:lineRule="exact"/>
        <w:ind w:firstLine="720"/>
        <w:outlineLvl w:val="1"/>
        <w:rPr>
          <w:rFonts w:ascii="仿宋" w:hAnsi="仿宋" w:eastAsia="仿宋"/>
          <w:color w:val="auto"/>
          <w:sz w:val="24"/>
        </w:rPr>
      </w:pPr>
      <w:bookmarkStart w:id="24" w:name="_Toc23900"/>
      <w:r>
        <w:rPr>
          <w:rFonts w:ascii="仿宋" w:hAnsi="仿宋" w:eastAsia="仿宋"/>
          <w:color w:val="auto"/>
          <w:sz w:val="24"/>
        </w:rPr>
        <w:t>1、甲方责任：</w:t>
      </w:r>
      <w:bookmarkEnd w:id="24"/>
    </w:p>
    <w:p>
      <w:pPr>
        <w:numPr>
          <w:ilvl w:val="1"/>
          <w:numId w:val="2"/>
        </w:numPr>
        <w:tabs>
          <w:tab w:val="left" w:pos="1140"/>
        </w:tabs>
        <w:spacing w:line="500" w:lineRule="exact"/>
        <w:rPr>
          <w:rFonts w:ascii="仿宋" w:hAnsi="仿宋" w:eastAsia="仿宋"/>
          <w:color w:val="auto"/>
          <w:sz w:val="24"/>
        </w:rPr>
      </w:pPr>
      <w:r>
        <w:rPr>
          <w:rFonts w:ascii="仿宋" w:hAnsi="仿宋" w:eastAsia="仿宋"/>
          <w:color w:val="auto"/>
          <w:sz w:val="24"/>
        </w:rPr>
        <w:t>审核乙方提交的设计</w:t>
      </w:r>
      <w:r>
        <w:rPr>
          <w:rFonts w:hint="eastAsia" w:ascii="仿宋" w:hAnsi="仿宋" w:eastAsia="仿宋"/>
          <w:color w:val="auto"/>
          <w:sz w:val="24"/>
        </w:rPr>
        <w:t>成果</w:t>
      </w:r>
      <w:r>
        <w:rPr>
          <w:rFonts w:ascii="仿宋" w:hAnsi="仿宋" w:eastAsia="仿宋"/>
          <w:color w:val="auto"/>
          <w:sz w:val="24"/>
        </w:rPr>
        <w:t>；</w:t>
      </w:r>
    </w:p>
    <w:p>
      <w:pPr>
        <w:numPr>
          <w:ilvl w:val="1"/>
          <w:numId w:val="2"/>
        </w:numPr>
        <w:tabs>
          <w:tab w:val="left" w:pos="1140"/>
        </w:tabs>
        <w:spacing w:line="500" w:lineRule="exact"/>
        <w:rPr>
          <w:rFonts w:ascii="仿宋" w:hAnsi="仿宋" w:eastAsia="仿宋"/>
          <w:color w:val="auto"/>
          <w:sz w:val="24"/>
        </w:rPr>
      </w:pPr>
      <w:r>
        <w:rPr>
          <w:rFonts w:ascii="仿宋" w:hAnsi="仿宋" w:eastAsia="仿宋"/>
          <w:color w:val="auto"/>
          <w:sz w:val="24"/>
        </w:rPr>
        <w:t>按时支付</w:t>
      </w:r>
      <w:r>
        <w:rPr>
          <w:rFonts w:hint="eastAsia" w:ascii="仿宋" w:hAnsi="仿宋" w:eastAsia="仿宋"/>
          <w:color w:val="auto"/>
          <w:sz w:val="24"/>
        </w:rPr>
        <w:t>项目</w:t>
      </w:r>
      <w:r>
        <w:rPr>
          <w:rFonts w:ascii="仿宋" w:hAnsi="仿宋" w:eastAsia="仿宋"/>
          <w:color w:val="auto"/>
          <w:sz w:val="24"/>
        </w:rPr>
        <w:t>款项：</w:t>
      </w:r>
    </w:p>
    <w:p>
      <w:pPr>
        <w:numPr>
          <w:ilvl w:val="1"/>
          <w:numId w:val="2"/>
        </w:numPr>
        <w:tabs>
          <w:tab w:val="left" w:pos="1140"/>
        </w:tabs>
        <w:spacing w:line="500" w:lineRule="exact"/>
        <w:rPr>
          <w:rFonts w:ascii="仿宋" w:hAnsi="仿宋" w:eastAsia="仿宋"/>
          <w:color w:val="auto"/>
          <w:sz w:val="24"/>
        </w:rPr>
      </w:pPr>
      <w:r>
        <w:rPr>
          <w:rFonts w:ascii="仿宋" w:hAnsi="仿宋" w:eastAsia="仿宋"/>
          <w:color w:val="auto"/>
          <w:sz w:val="24"/>
        </w:rPr>
        <w:t>组织</w:t>
      </w:r>
      <w:r>
        <w:rPr>
          <w:rFonts w:hint="eastAsia" w:ascii="仿宋" w:hAnsi="仿宋" w:eastAsia="仿宋"/>
          <w:color w:val="auto"/>
          <w:sz w:val="24"/>
        </w:rPr>
        <w:t>项目</w:t>
      </w:r>
      <w:r>
        <w:rPr>
          <w:rFonts w:ascii="仿宋" w:hAnsi="仿宋" w:eastAsia="仿宋"/>
          <w:color w:val="auto"/>
          <w:sz w:val="24"/>
        </w:rPr>
        <w:t>验收工作及做好结算工作。</w:t>
      </w:r>
    </w:p>
    <w:p>
      <w:pPr>
        <w:spacing w:line="500" w:lineRule="exact"/>
        <w:ind w:left="400" w:firstLine="240"/>
        <w:outlineLvl w:val="1"/>
        <w:rPr>
          <w:rFonts w:ascii="仿宋" w:hAnsi="仿宋" w:eastAsia="仿宋"/>
          <w:color w:val="auto"/>
          <w:sz w:val="24"/>
        </w:rPr>
      </w:pPr>
      <w:bookmarkStart w:id="25" w:name="_Toc28047"/>
      <w:r>
        <w:rPr>
          <w:rFonts w:ascii="仿宋" w:hAnsi="仿宋" w:eastAsia="仿宋"/>
          <w:color w:val="auto"/>
          <w:sz w:val="24"/>
        </w:rPr>
        <w:t>2、乙方责任：</w:t>
      </w:r>
      <w:bookmarkEnd w:id="25"/>
    </w:p>
    <w:p>
      <w:pPr>
        <w:tabs>
          <w:tab w:val="left" w:pos="1140"/>
        </w:tabs>
        <w:spacing w:line="500" w:lineRule="exact"/>
        <w:ind w:firstLine="480" w:firstLineChars="200"/>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向甲方提交设计</w:t>
      </w:r>
      <w:r>
        <w:rPr>
          <w:rFonts w:hint="eastAsia" w:ascii="仿宋" w:hAnsi="仿宋" w:eastAsia="仿宋"/>
          <w:color w:val="auto"/>
          <w:sz w:val="24"/>
        </w:rPr>
        <w:t>成果</w:t>
      </w:r>
      <w:r>
        <w:rPr>
          <w:rFonts w:ascii="仿宋" w:hAnsi="仿宋" w:eastAsia="仿宋"/>
          <w:color w:val="auto"/>
          <w:sz w:val="24"/>
        </w:rPr>
        <w:t>并</w:t>
      </w:r>
      <w:r>
        <w:rPr>
          <w:rFonts w:hint="eastAsia" w:ascii="仿宋" w:hAnsi="仿宋" w:eastAsia="仿宋"/>
          <w:color w:val="auto"/>
          <w:sz w:val="24"/>
        </w:rPr>
        <w:t>按甲方提出的修改意见进行进行设计变更，直到甲方满意为止；</w:t>
      </w:r>
    </w:p>
    <w:p>
      <w:pPr>
        <w:spacing w:line="500" w:lineRule="exact"/>
        <w:ind w:firstLine="480" w:firstLineChars="200"/>
        <w:rPr>
          <w:rFonts w:hint="default" w:ascii="仿宋" w:hAnsi="仿宋" w:eastAsia="仿宋"/>
          <w:color w:val="auto"/>
          <w:sz w:val="24"/>
          <w:lang w:val="en-US"/>
        </w:rPr>
      </w:pPr>
      <w:r>
        <w:rPr>
          <w:rFonts w:hint="eastAsia" w:ascii="仿宋" w:hAnsi="仿宋" w:eastAsia="仿宋"/>
          <w:color w:val="auto"/>
          <w:sz w:val="24"/>
        </w:rPr>
        <w:t>（2）</w:t>
      </w:r>
      <w:r>
        <w:rPr>
          <w:rFonts w:hint="eastAsia" w:ascii="仿宋" w:hAnsi="仿宋" w:eastAsia="仿宋"/>
          <w:color w:val="auto"/>
          <w:sz w:val="24"/>
          <w:lang w:val="en-US" w:eastAsia="zh-CN"/>
        </w:rPr>
        <w:t>乙方</w:t>
      </w:r>
      <w:r>
        <w:rPr>
          <w:rFonts w:ascii="仿宋" w:hAnsi="仿宋" w:eastAsia="仿宋"/>
          <w:color w:val="auto"/>
          <w:sz w:val="24"/>
        </w:rPr>
        <w:t>应建立专班技术团队负责完成合同服务内容，应随时根据安排参与会议讨论，及时按照规定时间完成</w:t>
      </w:r>
      <w:r>
        <w:rPr>
          <w:rFonts w:hint="eastAsia" w:ascii="仿宋" w:hAnsi="仿宋" w:eastAsia="仿宋"/>
          <w:color w:val="auto"/>
          <w:sz w:val="24"/>
        </w:rPr>
        <w:t>全套策划设计工作</w:t>
      </w:r>
      <w:r>
        <w:rPr>
          <w:rFonts w:ascii="仿宋" w:hAnsi="仿宋" w:eastAsia="仿宋"/>
          <w:color w:val="auto"/>
          <w:sz w:val="24"/>
        </w:rPr>
        <w:t>及</w:t>
      </w:r>
      <w:r>
        <w:rPr>
          <w:rFonts w:hint="eastAsia" w:ascii="仿宋" w:hAnsi="仿宋" w:eastAsia="仿宋"/>
          <w:color w:val="auto"/>
          <w:sz w:val="24"/>
        </w:rPr>
        <w:t>设计变更</w:t>
      </w:r>
      <w:r>
        <w:rPr>
          <w:rFonts w:ascii="仿宋" w:hAnsi="仿宋" w:eastAsia="仿宋"/>
          <w:color w:val="auto"/>
          <w:sz w:val="24"/>
        </w:rPr>
        <w:t>工作等任务</w:t>
      </w:r>
      <w:r>
        <w:rPr>
          <w:rFonts w:hint="eastAsia" w:ascii="仿宋" w:hAnsi="仿宋" w:eastAsia="仿宋"/>
          <w:color w:val="auto"/>
          <w:sz w:val="24"/>
          <w:lang w:eastAsia="zh-CN"/>
        </w:rPr>
        <w:t>。</w:t>
      </w:r>
      <w:r>
        <w:rPr>
          <w:rFonts w:hint="eastAsia" w:ascii="仿宋" w:hAnsi="仿宋" w:eastAsia="仿宋"/>
          <w:color w:val="auto"/>
          <w:sz w:val="24"/>
          <w:lang w:val="en-US" w:eastAsia="zh-CN"/>
        </w:rPr>
        <w:t>乙方须具备连续加班的工作状态和毅力，同时要</w:t>
      </w:r>
      <w:r>
        <w:rPr>
          <w:rFonts w:ascii="仿宋" w:hAnsi="仿宋" w:eastAsia="仿宋"/>
          <w:color w:val="auto"/>
          <w:sz w:val="24"/>
        </w:rPr>
        <w:t>提供相应配套资源和工作条件予以保障</w:t>
      </w:r>
      <w:r>
        <w:rPr>
          <w:rFonts w:hint="eastAsia" w:ascii="仿宋" w:hAnsi="仿宋" w:eastAsia="仿宋"/>
          <w:color w:val="auto"/>
          <w:sz w:val="24"/>
          <w:lang w:eastAsia="zh-CN"/>
        </w:rPr>
        <w:t>。</w:t>
      </w:r>
      <w:r>
        <w:rPr>
          <w:rFonts w:hint="eastAsia" w:ascii="仿宋" w:hAnsi="仿宋" w:eastAsia="仿宋"/>
          <w:color w:val="auto"/>
          <w:sz w:val="24"/>
          <w:lang w:val="en-US" w:eastAsia="zh-CN"/>
        </w:rPr>
        <w:t>如甲方有紧急技术需求时，乙方须安排不低于2名专职设计人员在甲方指定办公地点驻场办公并服从甲方工作安排。</w:t>
      </w:r>
    </w:p>
    <w:p>
      <w:pPr>
        <w:tabs>
          <w:tab w:val="left" w:pos="1140"/>
        </w:tabs>
        <w:spacing w:line="500" w:lineRule="exact"/>
        <w:ind w:firstLine="480" w:firstLineChars="200"/>
        <w:rPr>
          <w:rFonts w:ascii="仿宋" w:hAnsi="仿宋" w:eastAsia="仿宋"/>
          <w:color w:val="auto"/>
          <w:sz w:val="24"/>
        </w:rPr>
      </w:pPr>
      <w:r>
        <w:rPr>
          <w:rFonts w:hint="eastAsia" w:ascii="仿宋" w:hAnsi="仿宋" w:eastAsia="仿宋"/>
          <w:color w:val="auto"/>
          <w:sz w:val="24"/>
        </w:rPr>
        <w:t>（3）在展馆搭建实施、布展</w:t>
      </w:r>
      <w:r>
        <w:rPr>
          <w:rFonts w:hint="eastAsia" w:ascii="仿宋" w:hAnsi="仿宋" w:eastAsia="仿宋"/>
          <w:color w:val="auto"/>
          <w:sz w:val="24"/>
          <w:lang w:eastAsia="zh-CN"/>
        </w:rPr>
        <w:t>、</w:t>
      </w:r>
      <w:r>
        <w:rPr>
          <w:rFonts w:hint="eastAsia" w:ascii="仿宋" w:hAnsi="仿宋" w:eastAsia="仿宋"/>
          <w:color w:val="auto"/>
          <w:sz w:val="24"/>
          <w:lang w:val="en-US" w:eastAsia="zh-CN"/>
        </w:rPr>
        <w:t>展览</w:t>
      </w:r>
      <w:r>
        <w:rPr>
          <w:rFonts w:hint="eastAsia" w:ascii="仿宋" w:hAnsi="仿宋" w:eastAsia="仿宋"/>
          <w:color w:val="auto"/>
          <w:sz w:val="24"/>
        </w:rPr>
        <w:t>及撤展过程中，乙方应派遣</w:t>
      </w:r>
      <w:r>
        <w:rPr>
          <w:rFonts w:hint="eastAsia" w:ascii="仿宋" w:hAnsi="仿宋" w:eastAsia="仿宋"/>
          <w:color w:val="auto"/>
          <w:sz w:val="24"/>
          <w:lang w:val="en-US" w:eastAsia="zh-CN"/>
        </w:rPr>
        <w:t>专职设计</w:t>
      </w:r>
      <w:r>
        <w:rPr>
          <w:rFonts w:hint="eastAsia" w:ascii="仿宋" w:hAnsi="仿宋" w:eastAsia="仿宋"/>
          <w:color w:val="auto"/>
          <w:sz w:val="24"/>
        </w:rPr>
        <w:t>人员到现场提供跟踪指导服务，服务包括但不限于：</w:t>
      </w:r>
      <w:r>
        <w:rPr>
          <w:rFonts w:hint="eastAsia" w:ascii="仿宋" w:hAnsi="仿宋" w:eastAsia="仿宋"/>
          <w:color w:val="auto"/>
          <w:sz w:val="24"/>
          <w:lang w:val="en-US" w:eastAsia="zh-CN"/>
        </w:rPr>
        <w:t>现场搭建</w:t>
      </w:r>
      <w:r>
        <w:rPr>
          <w:rFonts w:hint="eastAsia" w:ascii="仿宋" w:hAnsi="仿宋" w:eastAsia="仿宋"/>
          <w:color w:val="auto"/>
          <w:sz w:val="24"/>
        </w:rPr>
        <w:t>实施过程中提供</w:t>
      </w:r>
      <w:r>
        <w:rPr>
          <w:rFonts w:hint="eastAsia" w:ascii="仿宋" w:hAnsi="仿宋" w:eastAsia="仿宋"/>
          <w:color w:val="auto"/>
          <w:sz w:val="24"/>
          <w:lang w:val="en-US" w:eastAsia="zh-CN"/>
        </w:rPr>
        <w:t>相应</w:t>
      </w:r>
      <w:r>
        <w:rPr>
          <w:rFonts w:hint="eastAsia" w:ascii="仿宋" w:hAnsi="仿宋" w:eastAsia="仿宋"/>
          <w:color w:val="auto"/>
          <w:sz w:val="24"/>
        </w:rPr>
        <w:t>工序的指导工作、现场设计方案的变更、应急事件的处理等；</w:t>
      </w:r>
    </w:p>
    <w:p>
      <w:pPr>
        <w:tabs>
          <w:tab w:val="left" w:pos="1140"/>
        </w:tabs>
        <w:spacing w:line="500" w:lineRule="exact"/>
        <w:ind w:firstLine="480" w:firstLineChars="200"/>
        <w:rPr>
          <w:rFonts w:ascii="仿宋" w:hAnsi="仿宋" w:eastAsia="仿宋"/>
          <w:color w:val="auto"/>
          <w:sz w:val="24"/>
        </w:rPr>
      </w:pPr>
      <w:r>
        <w:rPr>
          <w:rFonts w:hint="eastAsia" w:ascii="仿宋" w:hAnsi="仿宋" w:eastAsia="仿宋"/>
          <w:color w:val="auto"/>
          <w:sz w:val="24"/>
        </w:rPr>
        <w:t>（</w:t>
      </w:r>
      <w:r>
        <w:rPr>
          <w:rFonts w:hint="eastAsia" w:ascii="仿宋" w:hAnsi="仿宋" w:eastAsia="仿宋"/>
          <w:color w:val="auto"/>
          <w:sz w:val="24"/>
          <w:lang w:val="en-US" w:eastAsia="zh-CN"/>
        </w:rPr>
        <w:t>4</w:t>
      </w:r>
      <w:r>
        <w:rPr>
          <w:rFonts w:hint="eastAsia" w:ascii="仿宋" w:hAnsi="仿宋" w:eastAsia="仿宋"/>
          <w:color w:val="auto"/>
          <w:sz w:val="24"/>
        </w:rPr>
        <w:t>）</w:t>
      </w:r>
      <w:r>
        <w:rPr>
          <w:rFonts w:ascii="仿宋" w:hAnsi="仿宋" w:eastAsia="仿宋"/>
          <w:color w:val="auto"/>
          <w:sz w:val="24"/>
        </w:rPr>
        <w:t>参加</w:t>
      </w:r>
      <w:r>
        <w:rPr>
          <w:rFonts w:hint="eastAsia" w:ascii="仿宋" w:hAnsi="仿宋" w:eastAsia="仿宋"/>
          <w:color w:val="auto"/>
          <w:sz w:val="24"/>
        </w:rPr>
        <w:t>项目</w:t>
      </w:r>
      <w:r>
        <w:rPr>
          <w:rFonts w:ascii="仿宋" w:hAnsi="仿宋" w:eastAsia="仿宋"/>
          <w:color w:val="auto"/>
          <w:sz w:val="24"/>
        </w:rPr>
        <w:t>验收工作及做好结算。</w:t>
      </w:r>
    </w:p>
    <w:p>
      <w:pPr>
        <w:spacing w:line="500" w:lineRule="exact"/>
        <w:ind w:firstLine="360"/>
        <w:rPr>
          <w:rFonts w:ascii="仿宋" w:hAnsi="仿宋" w:eastAsia="仿宋"/>
          <w:color w:val="auto"/>
          <w:sz w:val="24"/>
        </w:rPr>
      </w:pPr>
      <w:r>
        <w:rPr>
          <w:rFonts w:ascii="仿宋" w:hAnsi="仿宋" w:eastAsia="仿宋"/>
          <w:color w:val="auto"/>
          <w:sz w:val="24"/>
        </w:rPr>
        <w:t xml:space="preserve">第九条：其它事项： </w:t>
      </w:r>
    </w:p>
    <w:p>
      <w:pPr>
        <w:spacing w:line="500" w:lineRule="exact"/>
        <w:ind w:firstLine="480"/>
        <w:rPr>
          <w:rFonts w:ascii="仿宋" w:hAnsi="仿宋" w:eastAsia="仿宋"/>
          <w:color w:val="auto"/>
          <w:sz w:val="24"/>
        </w:rPr>
      </w:pPr>
      <w:r>
        <w:rPr>
          <w:rFonts w:ascii="仿宋" w:hAnsi="仿宋" w:eastAsia="仿宋"/>
          <w:color w:val="auto"/>
          <w:sz w:val="24"/>
        </w:rPr>
        <w:t>1、 合同生效后或乙方在</w:t>
      </w:r>
      <w:r>
        <w:rPr>
          <w:rFonts w:hint="eastAsia" w:ascii="仿宋" w:hAnsi="仿宋" w:eastAsia="仿宋"/>
          <w:color w:val="auto"/>
          <w:sz w:val="24"/>
        </w:rPr>
        <w:t>服务</w:t>
      </w:r>
      <w:r>
        <w:rPr>
          <w:rFonts w:ascii="仿宋" w:hAnsi="仿宋" w:eastAsia="仿宋"/>
          <w:color w:val="auto"/>
          <w:sz w:val="24"/>
        </w:rPr>
        <w:t>过程中，甲方要求变更图纸改变</w:t>
      </w:r>
      <w:r>
        <w:rPr>
          <w:rFonts w:hint="eastAsia" w:ascii="仿宋" w:hAnsi="仿宋" w:eastAsia="仿宋"/>
          <w:color w:val="auto"/>
          <w:sz w:val="24"/>
        </w:rPr>
        <w:t>实施</w:t>
      </w:r>
      <w:r>
        <w:rPr>
          <w:rFonts w:ascii="仿宋" w:hAnsi="仿宋" w:eastAsia="仿宋"/>
          <w:color w:val="auto"/>
          <w:sz w:val="24"/>
        </w:rPr>
        <w:t>方案，</w:t>
      </w:r>
      <w:r>
        <w:rPr>
          <w:rFonts w:hint="eastAsia" w:ascii="仿宋" w:hAnsi="仿宋" w:eastAsia="仿宋"/>
          <w:color w:val="auto"/>
          <w:sz w:val="24"/>
        </w:rPr>
        <w:t>乙方应全力配合</w:t>
      </w:r>
      <w:r>
        <w:rPr>
          <w:rFonts w:ascii="仿宋" w:hAnsi="仿宋" w:eastAsia="仿宋"/>
          <w:color w:val="auto"/>
          <w:sz w:val="24"/>
        </w:rPr>
        <w:t>，</w:t>
      </w:r>
      <w:r>
        <w:rPr>
          <w:rFonts w:hint="eastAsia" w:ascii="仿宋" w:hAnsi="仿宋" w:eastAsia="仿宋"/>
          <w:color w:val="auto"/>
          <w:sz w:val="24"/>
        </w:rPr>
        <w:t>并且</w:t>
      </w:r>
      <w:r>
        <w:rPr>
          <w:rFonts w:ascii="仿宋" w:hAnsi="仿宋" w:eastAsia="仿宋"/>
          <w:color w:val="auto"/>
          <w:sz w:val="24"/>
        </w:rPr>
        <w:t>不得向甲方收取任何费用。</w:t>
      </w:r>
    </w:p>
    <w:p>
      <w:pPr>
        <w:spacing w:line="500" w:lineRule="exact"/>
        <w:ind w:firstLine="480"/>
        <w:rPr>
          <w:rFonts w:ascii="仿宋" w:hAnsi="仿宋" w:eastAsia="仿宋"/>
          <w:color w:val="auto"/>
          <w:sz w:val="24"/>
        </w:rPr>
      </w:pPr>
      <w:r>
        <w:rPr>
          <w:rFonts w:ascii="仿宋" w:hAnsi="仿宋" w:eastAsia="仿宋"/>
          <w:color w:val="auto"/>
          <w:sz w:val="24"/>
        </w:rPr>
        <w:t>2、出于乙方的原因至使甲方延误</w:t>
      </w:r>
      <w:r>
        <w:rPr>
          <w:rFonts w:hint="eastAsia" w:ascii="仿宋" w:hAnsi="仿宋" w:eastAsia="仿宋"/>
          <w:color w:val="auto"/>
          <w:sz w:val="24"/>
        </w:rPr>
        <w:t>筹办博览会</w:t>
      </w:r>
      <w:r>
        <w:rPr>
          <w:rFonts w:ascii="仿宋" w:hAnsi="仿宋" w:eastAsia="仿宋"/>
          <w:color w:val="auto"/>
          <w:sz w:val="24"/>
        </w:rPr>
        <w:t>，乙方应给甲方赔偿相应的损失</w:t>
      </w:r>
      <w:r>
        <w:rPr>
          <w:rFonts w:hint="eastAsia" w:ascii="仿宋" w:hAnsi="仿宋" w:eastAsia="仿宋"/>
          <w:color w:val="auto"/>
          <w:sz w:val="24"/>
        </w:rPr>
        <w:t>。</w:t>
      </w:r>
    </w:p>
    <w:p>
      <w:pPr>
        <w:spacing w:line="500" w:lineRule="exact"/>
        <w:ind w:firstLine="480"/>
        <w:rPr>
          <w:rFonts w:ascii="仿宋" w:hAnsi="仿宋" w:eastAsia="仿宋"/>
          <w:color w:val="auto"/>
          <w:sz w:val="24"/>
        </w:rPr>
      </w:pPr>
      <w:r>
        <w:rPr>
          <w:rFonts w:ascii="仿宋" w:hAnsi="仿宋" w:eastAsia="仿宋"/>
          <w:color w:val="auto"/>
          <w:sz w:val="24"/>
        </w:rPr>
        <w:t>本合同未尽事宜，经双方研究另行补充。</w:t>
      </w:r>
    </w:p>
    <w:p>
      <w:pPr>
        <w:spacing w:line="500" w:lineRule="exact"/>
        <w:ind w:firstLine="360"/>
        <w:rPr>
          <w:rFonts w:ascii="仿宋" w:hAnsi="仿宋" w:eastAsia="仿宋"/>
          <w:color w:val="auto"/>
          <w:sz w:val="24"/>
        </w:rPr>
      </w:pPr>
      <w:r>
        <w:rPr>
          <w:rFonts w:ascii="仿宋" w:hAnsi="仿宋" w:eastAsia="仿宋"/>
          <w:color w:val="auto"/>
          <w:sz w:val="24"/>
        </w:rPr>
        <w:t>第十条：合同效力：本合同一式两份，其中：甲乙双方各执一份，均具同等效力。本合同经双方签字盖章生效，至</w:t>
      </w:r>
      <w:r>
        <w:rPr>
          <w:rFonts w:hint="eastAsia" w:ascii="仿宋" w:hAnsi="仿宋" w:eastAsia="仿宋"/>
          <w:color w:val="auto"/>
          <w:sz w:val="24"/>
        </w:rPr>
        <w:t>项目</w:t>
      </w:r>
      <w:r>
        <w:rPr>
          <w:rFonts w:ascii="仿宋" w:hAnsi="仿宋" w:eastAsia="仿宋"/>
          <w:color w:val="auto"/>
          <w:sz w:val="24"/>
        </w:rPr>
        <w:t>验收和结清</w:t>
      </w:r>
      <w:r>
        <w:rPr>
          <w:rFonts w:hint="eastAsia" w:ascii="仿宋" w:hAnsi="仿宋" w:eastAsia="仿宋"/>
          <w:color w:val="auto"/>
          <w:sz w:val="24"/>
        </w:rPr>
        <w:t>合同</w:t>
      </w:r>
      <w:r>
        <w:rPr>
          <w:rFonts w:ascii="仿宋" w:hAnsi="仿宋" w:eastAsia="仿宋"/>
          <w:color w:val="auto"/>
          <w:sz w:val="24"/>
        </w:rPr>
        <w:t>款后失效。</w:t>
      </w:r>
    </w:p>
    <w:p>
      <w:pPr>
        <w:spacing w:line="500" w:lineRule="exact"/>
        <w:ind w:firstLine="360"/>
        <w:rPr>
          <w:rFonts w:hint="default" w:ascii="仿宋" w:hAnsi="仿宋" w:eastAsia="仿宋"/>
          <w:color w:val="auto"/>
          <w:sz w:val="24"/>
          <w:u w:val="single"/>
          <w:lang w:val="en-US" w:eastAsia="zh-CN"/>
        </w:rPr>
      </w:pPr>
      <w:r>
        <w:rPr>
          <w:rFonts w:ascii="仿宋" w:hAnsi="仿宋" w:eastAsia="仿宋"/>
          <w:color w:val="auto"/>
          <w:sz w:val="24"/>
        </w:rPr>
        <w:t>第十一条：</w:t>
      </w:r>
      <w:r>
        <w:rPr>
          <w:rFonts w:hint="eastAsia" w:ascii="仿宋" w:hAnsi="仿宋" w:eastAsia="仿宋"/>
          <w:color w:val="auto"/>
          <w:sz w:val="24"/>
        </w:rPr>
        <w:t>其他</w:t>
      </w:r>
      <w:r>
        <w:rPr>
          <w:rFonts w:ascii="仿宋" w:hAnsi="仿宋" w:eastAsia="仿宋"/>
          <w:color w:val="auto"/>
          <w:sz w:val="24"/>
        </w:rPr>
        <w:t>：</w:t>
      </w:r>
      <w:r>
        <w:rPr>
          <w:rFonts w:hint="eastAsia" w:ascii="仿宋" w:hAnsi="仿宋" w:eastAsia="仿宋"/>
          <w:color w:val="auto"/>
          <w:sz w:val="24"/>
          <w:u w:val="single"/>
          <w:lang w:val="en-US" w:eastAsia="zh-CN"/>
        </w:rPr>
        <w:t xml:space="preserve">                                       </w:t>
      </w:r>
    </w:p>
    <w:p>
      <w:pPr>
        <w:rPr>
          <w:rFonts w:hint="eastAsia" w:ascii="Times New Roman" w:hAnsi="Times New Roman" w:eastAsia="宋体"/>
          <w:color w:val="auto"/>
          <w:sz w:val="28"/>
          <w:lang w:val="en-US" w:eastAsia="zh-CN"/>
        </w:rPr>
      </w:pPr>
      <w:r>
        <w:rPr>
          <w:rFonts w:hint="eastAsia" w:ascii="Times New Roman" w:hAnsi="Times New Roman" w:eastAsia="宋体"/>
          <w:color w:val="auto"/>
          <w:sz w:val="28"/>
          <w:lang w:val="en-US" w:eastAsia="zh-CN"/>
        </w:rPr>
        <w:t xml:space="preserve"> </w:t>
      </w:r>
    </w:p>
    <w:p>
      <w:pPr>
        <w:keepNext/>
        <w:keepLines/>
        <w:spacing w:line="400" w:lineRule="exact"/>
        <w:jc w:val="center"/>
        <w:outlineLvl w:val="0"/>
        <w:rPr>
          <w:rFonts w:ascii="方正小标宋_GBK" w:eastAsia="方正小标宋_GBK"/>
          <w:color w:val="auto"/>
          <w:sz w:val="36"/>
        </w:rPr>
      </w:pPr>
      <w:bookmarkStart w:id="26" w:name="_Toc26447"/>
      <w:bookmarkStart w:id="27" w:name="_Toc25664"/>
      <w:r>
        <w:rPr>
          <w:rFonts w:hint="eastAsia" w:ascii="方正小标宋_GBK" w:eastAsia="方正小标宋_GBK"/>
          <w:color w:val="auto"/>
          <w:sz w:val="36"/>
        </w:rPr>
        <w:t>第七篇  响应文件编制要求</w:t>
      </w:r>
      <w:bookmarkEnd w:id="26"/>
      <w:bookmarkEnd w:id="27"/>
    </w:p>
    <w:p>
      <w:pPr>
        <w:keepNext/>
        <w:keepLines/>
        <w:snapToGrid w:val="0"/>
        <w:spacing w:line="440" w:lineRule="exact"/>
        <w:ind w:firstLine="482"/>
        <w:rPr>
          <w:rFonts w:ascii="仿宋" w:hAnsi="仿宋" w:eastAsia="仿宋"/>
          <w:b/>
          <w:color w:val="auto"/>
          <w:sz w:val="28"/>
        </w:rPr>
      </w:pPr>
      <w:r>
        <w:rPr>
          <w:rFonts w:hint="eastAsia" w:ascii="仿宋" w:hAnsi="仿宋" w:eastAsia="仿宋"/>
          <w:b/>
          <w:color w:val="auto"/>
          <w:sz w:val="28"/>
        </w:rPr>
        <w:t>一、经济部分</w:t>
      </w:r>
    </w:p>
    <w:p>
      <w:pPr>
        <w:snapToGrid w:val="0"/>
        <w:spacing w:line="440" w:lineRule="exact"/>
        <w:ind w:firstLine="480"/>
        <w:rPr>
          <w:rFonts w:ascii="仿宋" w:hAnsi="仿宋" w:eastAsia="仿宋"/>
          <w:color w:val="auto"/>
          <w:sz w:val="24"/>
        </w:rPr>
      </w:pPr>
      <w:r>
        <w:rPr>
          <w:rFonts w:hint="eastAsia" w:ascii="仿宋" w:hAnsi="仿宋" w:eastAsia="仿宋"/>
          <w:color w:val="auto"/>
          <w:sz w:val="24"/>
        </w:rPr>
        <w:t>（一）竞争性磋商报价函</w:t>
      </w:r>
    </w:p>
    <w:p>
      <w:pPr>
        <w:snapToGrid w:val="0"/>
        <w:spacing w:line="440" w:lineRule="exact"/>
        <w:ind w:firstLine="480"/>
        <w:rPr>
          <w:rFonts w:ascii="仿宋" w:hAnsi="仿宋" w:eastAsia="仿宋"/>
          <w:color w:val="auto"/>
          <w:sz w:val="24"/>
        </w:rPr>
      </w:pPr>
      <w:r>
        <w:rPr>
          <w:rFonts w:hint="eastAsia" w:ascii="仿宋" w:hAnsi="仿宋" w:eastAsia="仿宋"/>
          <w:color w:val="auto"/>
          <w:sz w:val="24"/>
        </w:rPr>
        <w:t>（二）明细报价表</w:t>
      </w:r>
    </w:p>
    <w:p>
      <w:pPr>
        <w:keepNext/>
        <w:keepLines/>
        <w:snapToGrid w:val="0"/>
        <w:spacing w:line="440" w:lineRule="exact"/>
        <w:ind w:firstLine="482"/>
        <w:rPr>
          <w:rFonts w:ascii="仿宋" w:hAnsi="仿宋" w:eastAsia="仿宋"/>
          <w:b/>
          <w:color w:val="auto"/>
          <w:sz w:val="28"/>
        </w:rPr>
      </w:pPr>
      <w:r>
        <w:rPr>
          <w:rFonts w:hint="eastAsia" w:ascii="仿宋" w:hAnsi="仿宋" w:eastAsia="仿宋"/>
          <w:b/>
          <w:color w:val="auto"/>
          <w:sz w:val="28"/>
        </w:rPr>
        <w:t>二、服务部分</w:t>
      </w:r>
    </w:p>
    <w:p>
      <w:pPr>
        <w:snapToGrid w:val="0"/>
        <w:spacing w:line="440" w:lineRule="exact"/>
        <w:ind w:firstLine="480"/>
        <w:rPr>
          <w:rFonts w:ascii="仿宋" w:hAnsi="仿宋" w:eastAsia="仿宋"/>
          <w:color w:val="auto"/>
          <w:sz w:val="24"/>
        </w:rPr>
      </w:pPr>
      <w:r>
        <w:rPr>
          <w:rFonts w:hint="eastAsia" w:ascii="仿宋" w:hAnsi="仿宋" w:eastAsia="仿宋"/>
          <w:color w:val="auto"/>
          <w:sz w:val="24"/>
        </w:rPr>
        <w:t>（一）服务方案</w:t>
      </w:r>
    </w:p>
    <w:p>
      <w:pPr>
        <w:snapToGrid w:val="0"/>
        <w:spacing w:line="440" w:lineRule="exact"/>
        <w:ind w:firstLine="480"/>
        <w:rPr>
          <w:rFonts w:ascii="仿宋" w:hAnsi="仿宋" w:eastAsia="仿宋"/>
          <w:color w:val="auto"/>
          <w:sz w:val="24"/>
        </w:rPr>
      </w:pPr>
      <w:r>
        <w:rPr>
          <w:rFonts w:hint="eastAsia" w:ascii="仿宋" w:hAnsi="仿宋" w:eastAsia="仿宋"/>
          <w:color w:val="auto"/>
          <w:sz w:val="24"/>
        </w:rPr>
        <w:t>（二）服务响应偏离表</w:t>
      </w:r>
    </w:p>
    <w:p>
      <w:pPr>
        <w:keepNext/>
        <w:keepLines/>
        <w:snapToGrid w:val="0"/>
        <w:spacing w:line="440" w:lineRule="exact"/>
        <w:ind w:firstLine="482"/>
        <w:rPr>
          <w:rFonts w:ascii="仿宋" w:hAnsi="仿宋" w:eastAsia="仿宋"/>
          <w:b/>
          <w:color w:val="auto"/>
          <w:sz w:val="28"/>
        </w:rPr>
      </w:pPr>
      <w:r>
        <w:rPr>
          <w:rFonts w:hint="eastAsia" w:ascii="仿宋" w:hAnsi="仿宋" w:eastAsia="仿宋"/>
          <w:b/>
          <w:color w:val="auto"/>
          <w:sz w:val="28"/>
        </w:rPr>
        <w:t>三、商务部分</w:t>
      </w:r>
    </w:p>
    <w:p>
      <w:pPr>
        <w:snapToGrid w:val="0"/>
        <w:spacing w:line="440" w:lineRule="exact"/>
        <w:ind w:firstLine="480"/>
        <w:rPr>
          <w:rFonts w:ascii="仿宋" w:hAnsi="仿宋" w:eastAsia="仿宋"/>
          <w:color w:val="auto"/>
          <w:sz w:val="24"/>
        </w:rPr>
      </w:pPr>
      <w:r>
        <w:rPr>
          <w:rFonts w:hint="eastAsia" w:ascii="仿宋" w:hAnsi="仿宋" w:eastAsia="仿宋"/>
          <w:color w:val="auto"/>
          <w:sz w:val="24"/>
        </w:rPr>
        <w:t>（一）商务要求响应情况（格式自定）</w:t>
      </w:r>
    </w:p>
    <w:p>
      <w:pPr>
        <w:snapToGrid w:val="0"/>
        <w:spacing w:line="440" w:lineRule="exact"/>
        <w:ind w:firstLine="480"/>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二</w:t>
      </w:r>
      <w:r>
        <w:rPr>
          <w:rFonts w:hint="eastAsia" w:ascii="仿宋" w:hAnsi="仿宋" w:eastAsia="仿宋"/>
          <w:color w:val="auto"/>
          <w:sz w:val="24"/>
        </w:rPr>
        <w:t>）商务评审需提供的资料（格式自定）</w:t>
      </w:r>
    </w:p>
    <w:p>
      <w:pPr>
        <w:snapToGrid w:val="0"/>
        <w:spacing w:line="440" w:lineRule="exact"/>
        <w:ind w:firstLine="480"/>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三</w:t>
      </w:r>
      <w:r>
        <w:rPr>
          <w:rFonts w:hint="eastAsia" w:ascii="仿宋" w:hAnsi="仿宋" w:eastAsia="仿宋"/>
          <w:color w:val="auto"/>
          <w:sz w:val="24"/>
        </w:rPr>
        <w:t>）其它优惠服务承诺</w:t>
      </w:r>
    </w:p>
    <w:p>
      <w:pPr>
        <w:keepNext/>
        <w:keepLines/>
        <w:snapToGrid w:val="0"/>
        <w:spacing w:line="440" w:lineRule="exact"/>
        <w:ind w:firstLine="482"/>
        <w:rPr>
          <w:rFonts w:ascii="仿宋" w:hAnsi="仿宋" w:eastAsia="仿宋"/>
          <w:b/>
          <w:color w:val="auto"/>
          <w:sz w:val="28"/>
        </w:rPr>
      </w:pPr>
      <w:r>
        <w:rPr>
          <w:rFonts w:hint="eastAsia" w:ascii="仿宋" w:hAnsi="仿宋" w:eastAsia="仿宋"/>
          <w:b/>
          <w:color w:val="auto"/>
          <w:sz w:val="28"/>
        </w:rPr>
        <w:t>四、资格条件及其他</w:t>
      </w:r>
    </w:p>
    <w:p>
      <w:pPr>
        <w:snapToGrid w:val="0"/>
        <w:spacing w:line="440" w:lineRule="exact"/>
        <w:ind w:firstLine="480"/>
        <w:rPr>
          <w:rFonts w:ascii="仿宋" w:hAnsi="仿宋" w:eastAsia="仿宋"/>
          <w:color w:val="auto"/>
          <w:sz w:val="24"/>
        </w:rPr>
      </w:pPr>
      <w:r>
        <w:rPr>
          <w:rFonts w:hint="eastAsia" w:ascii="仿宋" w:hAnsi="仿宋" w:eastAsia="仿宋"/>
          <w:color w:val="auto"/>
          <w:sz w:val="24"/>
        </w:rPr>
        <w:t>（一）基本资格条件</w:t>
      </w:r>
    </w:p>
    <w:p>
      <w:pPr>
        <w:snapToGrid w:val="0"/>
        <w:spacing w:line="440" w:lineRule="exact"/>
        <w:ind w:firstLine="480"/>
        <w:rPr>
          <w:rFonts w:ascii="仿宋" w:hAnsi="仿宋" w:eastAsia="仿宋"/>
          <w:color w:val="auto"/>
          <w:sz w:val="24"/>
        </w:rPr>
      </w:pPr>
      <w:r>
        <w:rPr>
          <w:rFonts w:hint="eastAsia" w:ascii="仿宋" w:hAnsi="仿宋" w:eastAsia="仿宋"/>
          <w:color w:val="auto"/>
          <w:sz w:val="24"/>
        </w:rPr>
        <w:t>1. 营业执照（副本）或事业单位法人证书（副本）复印件</w:t>
      </w:r>
    </w:p>
    <w:p>
      <w:pPr>
        <w:snapToGrid w:val="0"/>
        <w:spacing w:line="440" w:lineRule="exact"/>
        <w:ind w:firstLine="480"/>
        <w:rPr>
          <w:rFonts w:ascii="仿宋" w:hAnsi="仿宋" w:eastAsia="仿宋"/>
          <w:color w:val="auto"/>
          <w:sz w:val="24"/>
        </w:rPr>
      </w:pPr>
      <w:r>
        <w:rPr>
          <w:rFonts w:hint="eastAsia" w:ascii="仿宋" w:hAnsi="仿宋" w:eastAsia="仿宋"/>
          <w:color w:val="auto"/>
          <w:sz w:val="24"/>
        </w:rPr>
        <w:t>2.组织机构代码证复印件</w:t>
      </w:r>
    </w:p>
    <w:p>
      <w:pPr>
        <w:snapToGrid w:val="0"/>
        <w:spacing w:line="440" w:lineRule="exact"/>
        <w:ind w:firstLine="480"/>
        <w:rPr>
          <w:rFonts w:ascii="仿宋" w:hAnsi="仿宋" w:eastAsia="仿宋"/>
          <w:color w:val="auto"/>
          <w:sz w:val="24"/>
        </w:rPr>
      </w:pPr>
      <w:r>
        <w:rPr>
          <w:rFonts w:hint="eastAsia" w:ascii="仿宋" w:hAnsi="仿宋" w:eastAsia="仿宋"/>
          <w:color w:val="auto"/>
          <w:sz w:val="24"/>
        </w:rPr>
        <w:t>3.法人身份证明书（格式）</w:t>
      </w:r>
    </w:p>
    <w:p>
      <w:pPr>
        <w:snapToGrid w:val="0"/>
        <w:spacing w:line="440" w:lineRule="exact"/>
        <w:ind w:firstLine="480"/>
        <w:rPr>
          <w:rFonts w:ascii="仿宋" w:hAnsi="仿宋" w:eastAsia="仿宋"/>
          <w:color w:val="auto"/>
          <w:sz w:val="24"/>
        </w:rPr>
      </w:pPr>
      <w:r>
        <w:rPr>
          <w:rFonts w:hint="eastAsia" w:ascii="仿宋" w:hAnsi="仿宋" w:eastAsia="仿宋"/>
          <w:color w:val="auto"/>
          <w:sz w:val="24"/>
        </w:rPr>
        <w:t>4.法人授权委托书（格式）</w:t>
      </w:r>
    </w:p>
    <w:p>
      <w:pPr>
        <w:snapToGrid w:val="0"/>
        <w:spacing w:line="440" w:lineRule="exact"/>
        <w:ind w:firstLine="480"/>
        <w:rPr>
          <w:rFonts w:ascii="仿宋" w:hAnsi="仿宋" w:eastAsia="仿宋"/>
          <w:color w:val="auto"/>
          <w:sz w:val="24"/>
        </w:rPr>
      </w:pPr>
      <w:r>
        <w:rPr>
          <w:rFonts w:hint="eastAsia" w:ascii="仿宋" w:hAnsi="仿宋" w:eastAsia="仿宋"/>
          <w:color w:val="auto"/>
          <w:sz w:val="24"/>
        </w:rPr>
        <w:t>5. 上一年度财务状况报告（表）复印件，本年度新成立或成立不满一年的组织和自然人无法提供财务状况报告（表）的，可提供其基本开户银行出具的资信证明复印件。</w:t>
      </w:r>
    </w:p>
    <w:p>
      <w:pPr>
        <w:snapToGrid w:val="0"/>
        <w:spacing w:line="440" w:lineRule="exact"/>
        <w:ind w:firstLine="480"/>
        <w:rPr>
          <w:rFonts w:ascii="仿宋" w:hAnsi="仿宋" w:eastAsia="仿宋"/>
          <w:color w:val="auto"/>
          <w:sz w:val="24"/>
        </w:rPr>
      </w:pPr>
      <w:r>
        <w:rPr>
          <w:rFonts w:hint="eastAsia" w:ascii="仿宋" w:hAnsi="仿宋" w:eastAsia="仿宋"/>
          <w:color w:val="auto"/>
          <w:sz w:val="24"/>
        </w:rPr>
        <w:t>6.书面声明（格式）</w:t>
      </w:r>
    </w:p>
    <w:p>
      <w:pPr>
        <w:snapToGrid w:val="0"/>
        <w:spacing w:line="440" w:lineRule="exact"/>
        <w:ind w:firstLine="480"/>
        <w:rPr>
          <w:rFonts w:ascii="仿宋" w:hAnsi="仿宋" w:eastAsia="仿宋"/>
          <w:color w:val="auto"/>
          <w:sz w:val="24"/>
        </w:rPr>
      </w:pPr>
      <w:r>
        <w:rPr>
          <w:rFonts w:hint="eastAsia" w:ascii="仿宋" w:hAnsi="仿宋" w:eastAsia="仿宋"/>
          <w:color w:val="auto"/>
          <w:sz w:val="24"/>
        </w:rPr>
        <w:t>7.税务登记证（副本）复印件</w:t>
      </w:r>
    </w:p>
    <w:p>
      <w:pPr>
        <w:snapToGrid w:val="0"/>
        <w:spacing w:line="440" w:lineRule="exact"/>
        <w:ind w:firstLine="480"/>
        <w:rPr>
          <w:rFonts w:ascii="仿宋" w:hAnsi="仿宋" w:eastAsia="仿宋"/>
          <w:color w:val="auto"/>
          <w:sz w:val="24"/>
        </w:rPr>
      </w:pPr>
      <w:r>
        <w:rPr>
          <w:rFonts w:hint="eastAsia" w:ascii="仿宋" w:hAnsi="仿宋" w:eastAsia="仿宋"/>
          <w:color w:val="auto"/>
          <w:sz w:val="24"/>
        </w:rPr>
        <w:t>8.缴纳社会保障金的证明材料复印件</w:t>
      </w:r>
    </w:p>
    <w:p>
      <w:pPr>
        <w:snapToGrid w:val="0"/>
        <w:spacing w:line="440" w:lineRule="exact"/>
        <w:ind w:firstLine="480"/>
        <w:rPr>
          <w:rFonts w:ascii="仿宋" w:hAnsi="仿宋" w:eastAsia="仿宋"/>
          <w:color w:val="auto"/>
          <w:sz w:val="24"/>
        </w:rPr>
      </w:pPr>
      <w:r>
        <w:rPr>
          <w:rFonts w:hint="eastAsia" w:ascii="仿宋" w:hAnsi="仿宋" w:eastAsia="仿宋"/>
          <w:color w:val="auto"/>
          <w:sz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napToGrid w:val="0"/>
        <w:spacing w:line="440" w:lineRule="exact"/>
        <w:ind w:firstLine="480"/>
        <w:rPr>
          <w:rFonts w:ascii="仿宋" w:hAnsi="仿宋" w:eastAsia="仿宋"/>
          <w:color w:val="auto"/>
          <w:sz w:val="24"/>
        </w:rPr>
      </w:pPr>
      <w:r>
        <w:rPr>
          <w:rFonts w:hint="eastAsia" w:ascii="仿宋" w:hAnsi="仿宋" w:eastAsia="仿宋"/>
          <w:color w:val="auto"/>
          <w:sz w:val="24"/>
        </w:rPr>
        <w:t>说明：供应商按“多证合一”登记制度办理营业执照的，组织机构代码证、税务登记证（副本）及社会保险登记证以供应商所提供的法人营业执照（副本）复印件为准。</w:t>
      </w:r>
    </w:p>
    <w:p>
      <w:pPr>
        <w:snapToGrid w:val="0"/>
        <w:spacing w:line="440" w:lineRule="exact"/>
        <w:ind w:firstLine="480"/>
        <w:rPr>
          <w:rFonts w:ascii="仿宋" w:hAnsi="仿宋" w:eastAsia="仿宋"/>
          <w:color w:val="auto"/>
          <w:sz w:val="24"/>
        </w:rPr>
      </w:pPr>
      <w:r>
        <w:rPr>
          <w:rFonts w:hint="eastAsia" w:ascii="仿宋" w:hAnsi="仿宋" w:eastAsia="仿宋"/>
          <w:color w:val="auto"/>
          <w:sz w:val="24"/>
        </w:rPr>
        <w:t>（二）其他应提供的资料（自附）</w:t>
      </w:r>
    </w:p>
    <w:p>
      <w:pPr>
        <w:snapToGrid w:val="0"/>
        <w:spacing w:line="440" w:lineRule="exact"/>
        <w:ind w:firstLine="480"/>
        <w:rPr>
          <w:color w:val="auto"/>
        </w:rPr>
        <w:sectPr>
          <w:pgSz w:w="11907" w:h="16840"/>
          <w:pgMar w:top="1522" w:right="1520" w:bottom="1140" w:left="1327" w:header="964" w:footer="992" w:gutter="0"/>
          <w:cols w:space="720" w:num="1"/>
          <w:docGrid w:type="linesAndChars" w:linePitch="381" w:charSpace="0"/>
        </w:sectPr>
      </w:pPr>
    </w:p>
    <w:p>
      <w:pPr>
        <w:snapToGrid w:val="0"/>
        <w:spacing w:line="360" w:lineRule="auto"/>
        <w:ind w:firstLine="482"/>
        <w:rPr>
          <w:rFonts w:ascii="仿宋" w:hAnsi="仿宋" w:eastAsia="仿宋"/>
          <w:b/>
          <w:color w:val="auto"/>
          <w:sz w:val="28"/>
        </w:rPr>
      </w:pPr>
      <w:r>
        <w:rPr>
          <w:rFonts w:hint="eastAsia" w:ascii="仿宋" w:hAnsi="仿宋" w:eastAsia="仿宋"/>
          <w:b/>
          <w:color w:val="auto"/>
          <w:sz w:val="28"/>
        </w:rPr>
        <w:t>一、经济部分</w:t>
      </w:r>
    </w:p>
    <w:p>
      <w:pPr>
        <w:tabs>
          <w:tab w:val="left" w:pos="6300"/>
        </w:tabs>
        <w:snapToGrid w:val="0"/>
        <w:spacing w:line="520" w:lineRule="exact"/>
        <w:ind w:firstLine="480"/>
        <w:rPr>
          <w:rFonts w:ascii="仿宋" w:hAnsi="仿宋" w:eastAsia="仿宋"/>
          <w:color w:val="auto"/>
          <w:sz w:val="24"/>
        </w:rPr>
      </w:pPr>
      <w:r>
        <w:rPr>
          <w:rFonts w:hint="eastAsia" w:ascii="仿宋" w:hAnsi="仿宋" w:eastAsia="仿宋"/>
          <w:color w:val="auto"/>
          <w:sz w:val="24"/>
        </w:rPr>
        <w:t>（一）竞争性磋商报价函</w:t>
      </w:r>
    </w:p>
    <w:p>
      <w:pPr>
        <w:tabs>
          <w:tab w:val="left" w:pos="6300"/>
        </w:tabs>
        <w:snapToGrid w:val="0"/>
        <w:spacing w:line="520" w:lineRule="exact"/>
        <w:jc w:val="center"/>
        <w:rPr>
          <w:rFonts w:ascii="仿宋" w:hAnsi="仿宋" w:eastAsia="仿宋"/>
          <w:b/>
          <w:color w:val="auto"/>
          <w:sz w:val="28"/>
        </w:rPr>
      </w:pPr>
      <w:r>
        <w:rPr>
          <w:rFonts w:hint="eastAsia" w:ascii="仿宋" w:hAnsi="仿宋" w:eastAsia="仿宋"/>
          <w:b/>
          <w:color w:val="auto"/>
          <w:sz w:val="28"/>
        </w:rPr>
        <w:t>竞争性磋商报价函</w:t>
      </w:r>
    </w:p>
    <w:p>
      <w:pPr>
        <w:tabs>
          <w:tab w:val="left" w:pos="6300"/>
        </w:tabs>
        <w:snapToGrid w:val="0"/>
        <w:spacing w:line="520" w:lineRule="exact"/>
        <w:rPr>
          <w:rFonts w:ascii="仿宋" w:hAnsi="仿宋" w:eastAsia="仿宋"/>
          <w:color w:val="auto"/>
          <w:sz w:val="24"/>
        </w:rPr>
      </w:pPr>
      <w:r>
        <w:rPr>
          <w:rFonts w:hint="eastAsia" w:ascii="仿宋" w:hAnsi="仿宋" w:eastAsia="仿宋"/>
          <w:color w:val="auto"/>
          <w:sz w:val="24"/>
          <w:u w:val="single"/>
        </w:rPr>
        <w:t>（采购代理机构名称）</w:t>
      </w:r>
      <w:r>
        <w:rPr>
          <w:rFonts w:hint="eastAsia" w:ascii="仿宋" w:hAnsi="仿宋" w:eastAsia="仿宋"/>
          <w:color w:val="auto"/>
          <w:sz w:val="24"/>
        </w:rPr>
        <w:t>：</w:t>
      </w:r>
    </w:p>
    <w:p>
      <w:pPr>
        <w:tabs>
          <w:tab w:val="left" w:pos="6300"/>
        </w:tabs>
        <w:snapToGrid w:val="0"/>
        <w:spacing w:line="520" w:lineRule="exact"/>
        <w:ind w:firstLine="480"/>
        <w:rPr>
          <w:rFonts w:ascii="仿宋" w:hAnsi="仿宋" w:eastAsia="仿宋"/>
          <w:color w:val="auto"/>
          <w:sz w:val="24"/>
        </w:rPr>
      </w:pPr>
      <w:r>
        <w:rPr>
          <w:rFonts w:hint="eastAsia" w:ascii="仿宋" w:hAnsi="仿宋" w:eastAsia="仿宋"/>
          <w:color w:val="auto"/>
          <w:sz w:val="24"/>
        </w:rPr>
        <w:t>我方收到____________________________（项目名称）的竞争性磋商文件，经详细研究，决定参加该项目的磋商。</w:t>
      </w:r>
    </w:p>
    <w:p>
      <w:pPr>
        <w:tabs>
          <w:tab w:val="left" w:pos="6300"/>
        </w:tabs>
        <w:snapToGrid w:val="0"/>
        <w:spacing w:line="520" w:lineRule="exact"/>
        <w:ind w:firstLine="480"/>
        <w:rPr>
          <w:rFonts w:ascii="仿宋" w:hAnsi="仿宋" w:eastAsia="仿宋"/>
          <w:color w:val="auto"/>
          <w:sz w:val="24"/>
        </w:rPr>
      </w:pPr>
      <w:r>
        <w:rPr>
          <w:rFonts w:hint="eastAsia" w:ascii="仿宋" w:hAnsi="仿宋" w:eastAsia="仿宋"/>
          <w:color w:val="auto"/>
          <w:sz w:val="24"/>
        </w:rPr>
        <w:t>1.愿意按照竞争性磋商文件中的一切要求，提供本项目的服务，初始报价为人民币大写：元整；人民币小写：</w:t>
      </w:r>
      <w:r>
        <w:rPr>
          <w:rFonts w:hint="eastAsia" w:ascii="仿宋" w:hAnsi="仿宋" w:eastAsia="仿宋"/>
          <w:color w:val="auto"/>
          <w:sz w:val="24"/>
          <w:lang w:val="en-US" w:eastAsia="zh-CN"/>
        </w:rPr>
        <w:t xml:space="preserve">  </w:t>
      </w:r>
      <w:r>
        <w:rPr>
          <w:rFonts w:hint="eastAsia" w:ascii="仿宋" w:hAnsi="仿宋" w:eastAsia="仿宋"/>
          <w:color w:val="auto"/>
          <w:sz w:val="24"/>
        </w:rPr>
        <w:t>元。以我公司最后报价为准。</w:t>
      </w:r>
    </w:p>
    <w:p>
      <w:pPr>
        <w:tabs>
          <w:tab w:val="left" w:pos="6300"/>
        </w:tabs>
        <w:snapToGrid w:val="0"/>
        <w:spacing w:line="520" w:lineRule="exact"/>
        <w:ind w:firstLine="480"/>
        <w:rPr>
          <w:rFonts w:ascii="仿宋" w:hAnsi="仿宋" w:eastAsia="仿宋"/>
          <w:color w:val="auto"/>
          <w:sz w:val="24"/>
        </w:rPr>
      </w:pPr>
      <w:r>
        <w:rPr>
          <w:rFonts w:hint="eastAsia" w:ascii="仿宋" w:hAnsi="仿宋" w:eastAsia="仿宋"/>
          <w:color w:val="auto"/>
          <w:sz w:val="24"/>
        </w:rPr>
        <w:t>2.我方现提交的响应文件为：响应文件正本</w:t>
      </w:r>
      <w:r>
        <w:rPr>
          <w:rFonts w:hint="eastAsia" w:ascii="仿宋" w:hAnsi="仿宋" w:eastAsia="仿宋"/>
          <w:color w:val="auto"/>
          <w:sz w:val="24"/>
          <w:lang w:val="en-US" w:eastAsia="zh-CN"/>
        </w:rPr>
        <w:t xml:space="preserve">   </w:t>
      </w:r>
      <w:r>
        <w:rPr>
          <w:rFonts w:hint="eastAsia" w:ascii="仿宋" w:hAnsi="仿宋" w:eastAsia="仿宋"/>
          <w:color w:val="auto"/>
          <w:sz w:val="24"/>
        </w:rPr>
        <w:t>份，副本</w:t>
      </w:r>
      <w:r>
        <w:rPr>
          <w:rFonts w:hint="eastAsia" w:ascii="仿宋" w:hAnsi="仿宋" w:eastAsia="仿宋"/>
          <w:color w:val="auto"/>
          <w:sz w:val="24"/>
          <w:lang w:val="en-US" w:eastAsia="zh-CN"/>
        </w:rPr>
        <w:t xml:space="preserve"> </w:t>
      </w:r>
      <w:r>
        <w:rPr>
          <w:rFonts w:hint="eastAsia" w:ascii="仿宋" w:hAnsi="仿宋" w:eastAsia="仿宋"/>
          <w:color w:val="auto"/>
          <w:sz w:val="24"/>
        </w:rPr>
        <w:t>份，电子文档</w:t>
      </w:r>
      <w:r>
        <w:rPr>
          <w:rFonts w:hint="eastAsia" w:ascii="仿宋" w:hAnsi="仿宋" w:eastAsia="仿宋"/>
          <w:color w:val="auto"/>
          <w:sz w:val="24"/>
          <w:lang w:val="en-US" w:eastAsia="zh-CN"/>
        </w:rPr>
        <w:t xml:space="preserve">   </w:t>
      </w:r>
      <w:r>
        <w:rPr>
          <w:rFonts w:hint="eastAsia" w:ascii="仿宋" w:hAnsi="仿宋" w:eastAsia="仿宋"/>
          <w:color w:val="auto"/>
          <w:sz w:val="24"/>
        </w:rPr>
        <w:t>份。</w:t>
      </w:r>
    </w:p>
    <w:p>
      <w:pPr>
        <w:tabs>
          <w:tab w:val="left" w:pos="6300"/>
        </w:tabs>
        <w:snapToGrid w:val="0"/>
        <w:spacing w:line="520" w:lineRule="exact"/>
        <w:ind w:firstLine="480"/>
        <w:rPr>
          <w:rFonts w:ascii="仿宋" w:hAnsi="仿宋" w:eastAsia="仿宋"/>
          <w:color w:val="auto"/>
          <w:sz w:val="24"/>
        </w:rPr>
      </w:pPr>
      <w:r>
        <w:rPr>
          <w:rFonts w:hint="eastAsia" w:ascii="仿宋" w:hAnsi="仿宋" w:eastAsia="仿宋"/>
          <w:color w:val="auto"/>
          <w:sz w:val="24"/>
        </w:rPr>
        <w:t>3.我方承诺：本次磋商的有效期为90天。</w:t>
      </w:r>
    </w:p>
    <w:p>
      <w:pPr>
        <w:tabs>
          <w:tab w:val="left" w:pos="6300"/>
        </w:tabs>
        <w:snapToGrid w:val="0"/>
        <w:spacing w:line="520" w:lineRule="exact"/>
        <w:ind w:firstLine="480"/>
        <w:rPr>
          <w:rFonts w:ascii="仿宋" w:hAnsi="仿宋" w:eastAsia="仿宋"/>
          <w:color w:val="auto"/>
          <w:sz w:val="24"/>
        </w:rPr>
      </w:pPr>
      <w:r>
        <w:rPr>
          <w:rFonts w:hint="eastAsia" w:ascii="仿宋" w:hAnsi="仿宋" w:eastAsia="仿宋"/>
          <w:color w:val="auto"/>
          <w:sz w:val="24"/>
        </w:rPr>
        <w:t>4.我方完全理解和接受贵方竞争性磋商文件的一切规定和要求及评审办法。</w:t>
      </w:r>
    </w:p>
    <w:p>
      <w:pPr>
        <w:tabs>
          <w:tab w:val="left" w:pos="6300"/>
        </w:tabs>
        <w:snapToGrid w:val="0"/>
        <w:spacing w:line="520" w:lineRule="exact"/>
        <w:ind w:firstLine="480"/>
        <w:rPr>
          <w:rFonts w:ascii="仿宋" w:hAnsi="仿宋" w:eastAsia="仿宋"/>
          <w:color w:val="auto"/>
          <w:sz w:val="24"/>
        </w:rPr>
      </w:pPr>
      <w:r>
        <w:rPr>
          <w:rFonts w:hint="eastAsia" w:ascii="仿宋" w:hAnsi="仿宋" w:eastAsia="仿宋"/>
          <w:color w:val="auto"/>
          <w:sz w:val="24"/>
        </w:rPr>
        <w:t>5.在整个竞争性磋商过程中，我方若有违规行为，接受按照《中华人民共和国政府采购法》和《竞争性磋商文件》之规定给予惩罚。</w:t>
      </w:r>
    </w:p>
    <w:p>
      <w:pPr>
        <w:tabs>
          <w:tab w:val="left" w:pos="6300"/>
        </w:tabs>
        <w:snapToGrid w:val="0"/>
        <w:spacing w:line="520" w:lineRule="exact"/>
        <w:ind w:firstLine="480"/>
        <w:rPr>
          <w:rFonts w:ascii="仿宋" w:hAnsi="仿宋" w:eastAsia="仿宋"/>
          <w:color w:val="auto"/>
          <w:sz w:val="24"/>
        </w:rPr>
      </w:pPr>
      <w:r>
        <w:rPr>
          <w:rFonts w:hint="eastAsia" w:ascii="仿宋" w:hAnsi="仿宋" w:eastAsia="仿宋"/>
          <w:color w:val="auto"/>
          <w:sz w:val="24"/>
        </w:rPr>
        <w:t>6.我方若成为成交供应商，将按照最后磋商结果签订合同，并且严格履行合同义务。本承诺函将成为合同不可分割的一部分，与合同具有同等的法律效力。</w:t>
      </w:r>
    </w:p>
    <w:p>
      <w:pPr>
        <w:tabs>
          <w:tab w:val="left" w:pos="6300"/>
        </w:tabs>
        <w:snapToGrid w:val="0"/>
        <w:spacing w:line="520" w:lineRule="exact"/>
        <w:ind w:firstLine="480"/>
        <w:rPr>
          <w:rFonts w:ascii="仿宋" w:hAnsi="仿宋" w:eastAsia="仿宋"/>
          <w:color w:val="auto"/>
          <w:sz w:val="24"/>
        </w:rPr>
      </w:pPr>
      <w:r>
        <w:rPr>
          <w:rFonts w:hint="eastAsia" w:ascii="仿宋" w:hAnsi="仿宋" w:eastAsia="仿宋"/>
          <w:color w:val="auto"/>
          <w:sz w:val="24"/>
        </w:rPr>
        <w:t>7.我方同意按竞争性磋商文件规定，交纳竞争性磋商文件要求的磋商保证金。如果我方成为成交供应商，同意按照竞争性磋商文件规定缴纳采购代理服务费及交易服务费。</w:t>
      </w:r>
    </w:p>
    <w:p>
      <w:pPr>
        <w:tabs>
          <w:tab w:val="left" w:pos="6300"/>
        </w:tabs>
        <w:snapToGrid w:val="0"/>
        <w:spacing w:line="520" w:lineRule="exact"/>
        <w:ind w:firstLine="480"/>
        <w:rPr>
          <w:rFonts w:ascii="仿宋" w:hAnsi="仿宋" w:eastAsia="仿宋"/>
          <w:color w:val="auto"/>
          <w:sz w:val="24"/>
        </w:rPr>
      </w:pPr>
      <w:r>
        <w:rPr>
          <w:rFonts w:hint="eastAsia" w:ascii="仿宋" w:hAnsi="仿宋" w:eastAsia="仿宋"/>
          <w:color w:val="auto"/>
          <w:sz w:val="24"/>
        </w:rPr>
        <w:t>8.我方未</w:t>
      </w:r>
      <w:r>
        <w:rPr>
          <w:rFonts w:ascii="仿宋" w:hAnsi="仿宋" w:eastAsia="仿宋"/>
          <w:color w:val="auto"/>
          <w:sz w:val="24"/>
        </w:rPr>
        <w:t>为采购项目提供整体设计、规范编制或者项目管理、监理、检测等服务。</w:t>
      </w:r>
    </w:p>
    <w:p>
      <w:pPr>
        <w:tabs>
          <w:tab w:val="left" w:pos="6300"/>
        </w:tabs>
        <w:snapToGrid w:val="0"/>
        <w:spacing w:line="520" w:lineRule="exact"/>
        <w:ind w:firstLine="570"/>
        <w:rPr>
          <w:rFonts w:ascii="仿宋" w:hAnsi="仿宋" w:eastAsia="仿宋"/>
          <w:color w:val="auto"/>
          <w:sz w:val="24"/>
        </w:rPr>
      </w:pPr>
      <w:r>
        <w:rPr>
          <w:rFonts w:hint="eastAsia" w:ascii="仿宋" w:hAnsi="仿宋" w:eastAsia="仿宋"/>
          <w:color w:val="auto"/>
          <w:sz w:val="24"/>
        </w:rPr>
        <w:t>供应商（公章）：</w:t>
      </w:r>
    </w:p>
    <w:p>
      <w:pPr>
        <w:tabs>
          <w:tab w:val="left" w:pos="6300"/>
        </w:tabs>
        <w:snapToGrid w:val="0"/>
        <w:spacing w:line="520" w:lineRule="exact"/>
        <w:ind w:firstLine="570"/>
        <w:rPr>
          <w:rFonts w:ascii="仿宋" w:hAnsi="仿宋" w:eastAsia="仿宋"/>
          <w:color w:val="auto"/>
          <w:sz w:val="24"/>
        </w:rPr>
      </w:pPr>
      <w:r>
        <w:rPr>
          <w:rFonts w:hint="eastAsia" w:ascii="仿宋" w:hAnsi="仿宋" w:eastAsia="仿宋"/>
          <w:color w:val="auto"/>
          <w:sz w:val="24"/>
        </w:rPr>
        <w:t xml:space="preserve">地址：  </w:t>
      </w:r>
    </w:p>
    <w:p>
      <w:pPr>
        <w:tabs>
          <w:tab w:val="left" w:pos="6300"/>
        </w:tabs>
        <w:snapToGrid w:val="0"/>
        <w:spacing w:line="520" w:lineRule="exact"/>
        <w:ind w:firstLine="570"/>
        <w:rPr>
          <w:rFonts w:ascii="仿宋" w:hAnsi="仿宋" w:eastAsia="仿宋"/>
          <w:color w:val="auto"/>
          <w:sz w:val="24"/>
        </w:rPr>
      </w:pPr>
      <w:r>
        <w:rPr>
          <w:rFonts w:hint="eastAsia" w:ascii="仿宋" w:hAnsi="仿宋" w:eastAsia="仿宋"/>
          <w:color w:val="auto"/>
          <w:sz w:val="24"/>
        </w:rPr>
        <w:t>电话：                                             传真：</w:t>
      </w:r>
    </w:p>
    <w:p>
      <w:pPr>
        <w:tabs>
          <w:tab w:val="left" w:pos="6300"/>
        </w:tabs>
        <w:snapToGrid w:val="0"/>
        <w:spacing w:line="520" w:lineRule="exact"/>
        <w:ind w:firstLine="570"/>
        <w:rPr>
          <w:rFonts w:ascii="仿宋" w:hAnsi="仿宋" w:eastAsia="仿宋"/>
          <w:color w:val="auto"/>
          <w:sz w:val="24"/>
        </w:rPr>
      </w:pPr>
      <w:r>
        <w:rPr>
          <w:rFonts w:hint="eastAsia" w:ascii="仿宋" w:hAnsi="仿宋" w:eastAsia="仿宋"/>
          <w:color w:val="auto"/>
          <w:sz w:val="24"/>
        </w:rPr>
        <w:t>网址：                                             邮编：</w:t>
      </w:r>
    </w:p>
    <w:p>
      <w:pPr>
        <w:tabs>
          <w:tab w:val="left" w:pos="6300"/>
        </w:tabs>
        <w:snapToGrid w:val="0"/>
        <w:spacing w:line="520" w:lineRule="exact"/>
        <w:ind w:firstLine="570"/>
        <w:rPr>
          <w:rFonts w:ascii="仿宋" w:hAnsi="仿宋" w:eastAsia="仿宋"/>
          <w:color w:val="auto"/>
          <w:sz w:val="24"/>
        </w:rPr>
      </w:pPr>
      <w:r>
        <w:rPr>
          <w:rFonts w:hint="eastAsia" w:ascii="仿宋" w:hAnsi="仿宋" w:eastAsia="仿宋"/>
          <w:color w:val="auto"/>
          <w:sz w:val="24"/>
        </w:rPr>
        <w:t>联系人：</w:t>
      </w:r>
    </w:p>
    <w:p>
      <w:pPr>
        <w:snapToGrid w:val="0"/>
        <w:spacing w:line="520" w:lineRule="exact"/>
        <w:ind w:firstLine="480"/>
        <w:rPr>
          <w:rFonts w:ascii="仿宋" w:hAnsi="仿宋" w:eastAsia="仿宋"/>
          <w:color w:val="auto"/>
          <w:sz w:val="24"/>
        </w:rPr>
      </w:pPr>
      <w:r>
        <w:rPr>
          <w:rFonts w:hint="eastAsia" w:ascii="仿宋" w:hAnsi="仿宋" w:eastAsia="仿宋"/>
          <w:color w:val="auto"/>
          <w:sz w:val="24"/>
        </w:rPr>
        <w:t xml:space="preserve">                                          年   月   日</w:t>
      </w:r>
    </w:p>
    <w:p>
      <w:pPr>
        <w:snapToGrid w:val="0"/>
        <w:spacing w:line="520" w:lineRule="exact"/>
        <w:rPr>
          <w:rFonts w:ascii="仿宋" w:hAnsi="仿宋" w:eastAsia="仿宋"/>
          <w:color w:val="auto"/>
          <w:sz w:val="24"/>
        </w:rPr>
      </w:pPr>
    </w:p>
    <w:p>
      <w:pPr>
        <w:tabs>
          <w:tab w:val="left" w:pos="6300"/>
        </w:tabs>
        <w:snapToGrid w:val="0"/>
        <w:spacing w:line="520" w:lineRule="exact"/>
        <w:ind w:firstLine="480"/>
        <w:rPr>
          <w:rFonts w:ascii="仿宋" w:hAnsi="仿宋" w:eastAsia="仿宋"/>
          <w:color w:val="auto"/>
          <w:sz w:val="24"/>
        </w:rPr>
      </w:pPr>
      <w:r>
        <w:rPr>
          <w:color w:val="auto"/>
        </w:rPr>
        <w:br w:type="page"/>
      </w:r>
      <w:r>
        <w:rPr>
          <w:rFonts w:hint="eastAsia" w:ascii="仿宋" w:hAnsi="仿宋" w:eastAsia="仿宋"/>
          <w:color w:val="auto"/>
          <w:sz w:val="24"/>
        </w:rPr>
        <w:t>（二）明细报价表</w:t>
      </w:r>
    </w:p>
    <w:p>
      <w:pPr>
        <w:snapToGrid w:val="0"/>
        <w:jc w:val="left"/>
        <w:rPr>
          <w:rFonts w:ascii="仿宋" w:hAnsi="仿宋" w:eastAsia="仿宋"/>
          <w:b/>
          <w:color w:val="auto"/>
          <w:sz w:val="24"/>
        </w:rPr>
      </w:pPr>
      <w:r>
        <w:rPr>
          <w:rFonts w:hint="eastAsia" w:ascii="仿宋" w:hAnsi="仿宋" w:eastAsia="仿宋"/>
          <w:b/>
          <w:color w:val="auto"/>
          <w:sz w:val="24"/>
        </w:rPr>
        <w:t>明细报价表</w:t>
      </w:r>
    </w:p>
    <w:p>
      <w:pPr>
        <w:snapToGrid w:val="0"/>
        <w:spacing w:line="400" w:lineRule="exact"/>
        <w:rPr>
          <w:rFonts w:ascii="仿宋" w:hAnsi="仿宋" w:eastAsia="仿宋"/>
          <w:color w:val="auto"/>
          <w:sz w:val="24"/>
        </w:rPr>
      </w:pPr>
      <w:r>
        <w:rPr>
          <w:rFonts w:hint="eastAsia" w:ascii="仿宋" w:hAnsi="仿宋" w:eastAsia="仿宋"/>
          <w:color w:val="auto"/>
          <w:sz w:val="24"/>
        </w:rPr>
        <w:t xml:space="preserve">项目号：                 </w:t>
      </w:r>
    </w:p>
    <w:p>
      <w:pPr>
        <w:snapToGrid w:val="0"/>
        <w:spacing w:line="400" w:lineRule="exact"/>
        <w:rPr>
          <w:rFonts w:ascii="仿宋" w:hAnsi="仿宋" w:eastAsia="仿宋"/>
          <w:color w:val="auto"/>
          <w:sz w:val="24"/>
          <w:u w:val="single"/>
        </w:rPr>
      </w:pPr>
      <w:r>
        <w:rPr>
          <w:rFonts w:hint="eastAsia" w:ascii="仿宋" w:hAnsi="仿宋" w:eastAsia="仿宋"/>
          <w:color w:val="auto"/>
          <w:sz w:val="24"/>
        </w:rPr>
        <w:t xml:space="preserve">项目名称： </w:t>
      </w:r>
    </w:p>
    <w:tbl>
      <w:tblPr>
        <w:tblStyle w:val="7"/>
        <w:tblW w:w="9543" w:type="dxa"/>
        <w:jc w:val="center"/>
        <w:tblLayout w:type="fixed"/>
        <w:tblCellMar>
          <w:top w:w="0" w:type="dxa"/>
          <w:left w:w="0" w:type="dxa"/>
          <w:bottom w:w="0" w:type="dxa"/>
          <w:right w:w="0" w:type="dxa"/>
        </w:tblCellMar>
      </w:tblPr>
      <w:tblGrid>
        <w:gridCol w:w="775"/>
        <w:gridCol w:w="2211"/>
        <w:gridCol w:w="2268"/>
        <w:gridCol w:w="966"/>
        <w:gridCol w:w="1185"/>
        <w:gridCol w:w="903"/>
        <w:gridCol w:w="1235"/>
      </w:tblGrid>
      <w:tr>
        <w:tblPrEx>
          <w:tblCellMar>
            <w:top w:w="0" w:type="dxa"/>
            <w:left w:w="0" w:type="dxa"/>
            <w:bottom w:w="0" w:type="dxa"/>
            <w:right w:w="0" w:type="dxa"/>
          </w:tblCellMar>
        </w:tblPrEx>
        <w:trPr>
          <w:trHeight w:val="764" w:hRule="exact"/>
          <w:jc w:val="center"/>
        </w:trPr>
        <w:tc>
          <w:tcPr>
            <w:tcW w:w="7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b/>
                <w:color w:val="auto"/>
                <w:sz w:val="24"/>
              </w:rPr>
            </w:pPr>
            <w:r>
              <w:rPr>
                <w:rFonts w:hint="eastAsia" w:ascii="仿宋" w:hAnsi="仿宋" w:eastAsia="仿宋"/>
                <w:b/>
                <w:color w:val="auto"/>
                <w:sz w:val="24"/>
              </w:rPr>
              <w:t>序号</w:t>
            </w:r>
          </w:p>
        </w:tc>
        <w:tc>
          <w:tcPr>
            <w:tcW w:w="22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b/>
                <w:color w:val="auto"/>
                <w:sz w:val="24"/>
              </w:rPr>
            </w:pPr>
            <w:r>
              <w:rPr>
                <w:rFonts w:hint="eastAsia" w:ascii="仿宋" w:hAnsi="仿宋" w:eastAsia="仿宋"/>
                <w:b/>
                <w:color w:val="auto"/>
                <w:sz w:val="24"/>
              </w:rPr>
              <w:t>名称</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b/>
                <w:color w:val="auto"/>
                <w:sz w:val="24"/>
              </w:rPr>
            </w:pPr>
            <w:r>
              <w:rPr>
                <w:rFonts w:hint="eastAsia" w:ascii="仿宋" w:hAnsi="仿宋" w:eastAsia="仿宋"/>
                <w:b/>
                <w:color w:val="auto"/>
                <w:sz w:val="24"/>
              </w:rPr>
              <w:t>相关信息</w:t>
            </w: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b/>
                <w:color w:val="auto"/>
                <w:sz w:val="24"/>
              </w:rPr>
            </w:pPr>
            <w:r>
              <w:rPr>
                <w:rFonts w:hint="eastAsia" w:ascii="仿宋" w:hAnsi="仿宋" w:eastAsia="仿宋"/>
                <w:b/>
                <w:color w:val="auto"/>
                <w:sz w:val="24"/>
              </w:rPr>
              <w:t>数量</w:t>
            </w: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b/>
                <w:color w:val="auto"/>
                <w:sz w:val="24"/>
              </w:rPr>
            </w:pPr>
            <w:r>
              <w:rPr>
                <w:rFonts w:hint="eastAsia" w:ascii="仿宋" w:hAnsi="仿宋" w:eastAsia="仿宋"/>
                <w:b/>
                <w:color w:val="auto"/>
                <w:sz w:val="24"/>
              </w:rPr>
              <w:t>单位</w:t>
            </w:r>
          </w:p>
        </w:tc>
        <w:tc>
          <w:tcPr>
            <w:tcW w:w="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b/>
                <w:color w:val="auto"/>
                <w:sz w:val="24"/>
              </w:rPr>
            </w:pPr>
            <w:r>
              <w:rPr>
                <w:rFonts w:hint="eastAsia" w:ascii="仿宋" w:hAnsi="仿宋" w:eastAsia="仿宋"/>
                <w:b/>
                <w:color w:val="auto"/>
                <w:sz w:val="24"/>
              </w:rPr>
              <w:t>单价</w:t>
            </w:r>
          </w:p>
        </w:tc>
        <w:tc>
          <w:tcPr>
            <w:tcW w:w="1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b/>
                <w:color w:val="auto"/>
                <w:sz w:val="24"/>
              </w:rPr>
            </w:pPr>
            <w:r>
              <w:rPr>
                <w:rFonts w:hint="eastAsia" w:ascii="仿宋" w:hAnsi="仿宋" w:eastAsia="仿宋"/>
                <w:b/>
                <w:color w:val="auto"/>
                <w:sz w:val="24"/>
              </w:rPr>
              <w:t>合计（元）</w:t>
            </w:r>
          </w:p>
        </w:tc>
      </w:tr>
      <w:tr>
        <w:tblPrEx>
          <w:tblCellMar>
            <w:top w:w="0" w:type="dxa"/>
            <w:left w:w="0" w:type="dxa"/>
            <w:bottom w:w="0" w:type="dxa"/>
            <w:right w:w="0" w:type="dxa"/>
          </w:tblCellMar>
        </w:tblPrEx>
        <w:trPr>
          <w:trHeight w:val="481" w:hRule="exact"/>
          <w:jc w:val="center"/>
        </w:trPr>
        <w:tc>
          <w:tcPr>
            <w:tcW w:w="7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
                <w:color w:val="auto"/>
                <w:sz w:val="24"/>
              </w:rPr>
            </w:pPr>
          </w:p>
        </w:tc>
        <w:tc>
          <w:tcPr>
            <w:tcW w:w="22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rFonts w:ascii="仿宋" w:hAnsi="仿宋" w:eastAsia="仿宋"/>
                <w:b/>
                <w:color w:val="auto"/>
                <w:sz w:val="24"/>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ascii="仿宋" w:hAnsi="仿宋" w:eastAsia="仿宋"/>
                <w:color w:val="auto"/>
                <w:sz w:val="24"/>
              </w:rPr>
            </w:pPr>
          </w:p>
        </w:tc>
        <w:tc>
          <w:tcPr>
            <w:tcW w:w="1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ascii="仿宋" w:hAnsi="仿宋" w:eastAsia="仿宋"/>
                <w:color w:val="auto"/>
                <w:sz w:val="24"/>
              </w:rPr>
            </w:pPr>
          </w:p>
        </w:tc>
      </w:tr>
      <w:tr>
        <w:tblPrEx>
          <w:tblCellMar>
            <w:top w:w="0" w:type="dxa"/>
            <w:left w:w="0" w:type="dxa"/>
            <w:bottom w:w="0" w:type="dxa"/>
            <w:right w:w="0" w:type="dxa"/>
          </w:tblCellMar>
        </w:tblPrEx>
        <w:trPr>
          <w:trHeight w:val="433" w:hRule="exact"/>
          <w:jc w:val="center"/>
        </w:trPr>
        <w:tc>
          <w:tcPr>
            <w:tcW w:w="7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4"/>
              </w:rPr>
            </w:pPr>
            <w:r>
              <w:rPr>
                <w:rFonts w:hint="eastAsia" w:ascii="仿宋" w:hAnsi="仿宋" w:eastAsia="仿宋"/>
                <w:color w:val="auto"/>
                <w:sz w:val="24"/>
              </w:rPr>
              <w:t>1</w:t>
            </w:r>
          </w:p>
        </w:tc>
        <w:tc>
          <w:tcPr>
            <w:tcW w:w="22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rFonts w:ascii="仿宋" w:hAnsi="仿宋" w:eastAsia="仿宋"/>
                <w:color w:val="auto"/>
                <w:sz w:val="24"/>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ascii="仿宋" w:hAnsi="仿宋" w:eastAsia="仿宋"/>
                <w:color w:val="auto"/>
                <w:sz w:val="24"/>
              </w:rPr>
            </w:pPr>
          </w:p>
        </w:tc>
        <w:tc>
          <w:tcPr>
            <w:tcW w:w="1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ascii="仿宋" w:hAnsi="仿宋" w:eastAsia="仿宋"/>
                <w:color w:val="auto"/>
                <w:sz w:val="24"/>
              </w:rPr>
            </w:pPr>
          </w:p>
        </w:tc>
      </w:tr>
      <w:tr>
        <w:tblPrEx>
          <w:tblCellMar>
            <w:top w:w="0" w:type="dxa"/>
            <w:left w:w="0" w:type="dxa"/>
            <w:bottom w:w="0" w:type="dxa"/>
            <w:right w:w="0" w:type="dxa"/>
          </w:tblCellMar>
        </w:tblPrEx>
        <w:trPr>
          <w:trHeight w:val="417" w:hRule="exact"/>
          <w:jc w:val="center"/>
        </w:trPr>
        <w:tc>
          <w:tcPr>
            <w:tcW w:w="7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4"/>
              </w:rPr>
            </w:pPr>
            <w:r>
              <w:rPr>
                <w:rFonts w:hint="eastAsia" w:ascii="仿宋" w:hAnsi="仿宋" w:eastAsia="仿宋"/>
                <w:color w:val="auto"/>
                <w:sz w:val="24"/>
              </w:rPr>
              <w:t>2</w:t>
            </w:r>
          </w:p>
        </w:tc>
        <w:tc>
          <w:tcPr>
            <w:tcW w:w="22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rFonts w:ascii="仿宋" w:hAnsi="仿宋" w:eastAsia="仿宋"/>
                <w:b/>
                <w:color w:val="auto"/>
                <w:sz w:val="24"/>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ascii="仿宋" w:hAnsi="仿宋" w:eastAsia="仿宋"/>
                <w:color w:val="auto"/>
                <w:sz w:val="24"/>
              </w:rPr>
            </w:pPr>
          </w:p>
        </w:tc>
        <w:tc>
          <w:tcPr>
            <w:tcW w:w="1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ascii="仿宋" w:hAnsi="仿宋" w:eastAsia="仿宋"/>
                <w:color w:val="auto"/>
                <w:sz w:val="24"/>
              </w:rPr>
            </w:pPr>
          </w:p>
        </w:tc>
      </w:tr>
      <w:tr>
        <w:tblPrEx>
          <w:tblCellMar>
            <w:top w:w="0" w:type="dxa"/>
            <w:left w:w="0" w:type="dxa"/>
            <w:bottom w:w="0" w:type="dxa"/>
            <w:right w:w="0" w:type="dxa"/>
          </w:tblCellMar>
        </w:tblPrEx>
        <w:trPr>
          <w:trHeight w:val="417" w:hRule="exact"/>
          <w:jc w:val="center"/>
        </w:trPr>
        <w:tc>
          <w:tcPr>
            <w:tcW w:w="7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4"/>
              </w:rPr>
            </w:pPr>
            <w:r>
              <w:rPr>
                <w:rFonts w:hint="eastAsia" w:ascii="仿宋" w:hAnsi="仿宋" w:eastAsia="仿宋"/>
                <w:color w:val="auto"/>
                <w:sz w:val="24"/>
              </w:rPr>
              <w:t>3</w:t>
            </w:r>
          </w:p>
        </w:tc>
        <w:tc>
          <w:tcPr>
            <w:tcW w:w="22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rFonts w:ascii="仿宋" w:hAnsi="仿宋" w:eastAsia="仿宋"/>
                <w:color w:val="auto"/>
                <w:sz w:val="24"/>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ascii="仿宋" w:hAnsi="仿宋" w:eastAsia="仿宋"/>
                <w:color w:val="auto"/>
                <w:sz w:val="24"/>
              </w:rPr>
            </w:pPr>
          </w:p>
        </w:tc>
        <w:tc>
          <w:tcPr>
            <w:tcW w:w="1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ascii="仿宋" w:hAnsi="仿宋" w:eastAsia="仿宋"/>
                <w:color w:val="auto"/>
                <w:sz w:val="24"/>
              </w:rPr>
            </w:pPr>
          </w:p>
        </w:tc>
      </w:tr>
      <w:tr>
        <w:tblPrEx>
          <w:tblCellMar>
            <w:top w:w="0" w:type="dxa"/>
            <w:left w:w="0" w:type="dxa"/>
            <w:bottom w:w="0" w:type="dxa"/>
            <w:right w:w="0" w:type="dxa"/>
          </w:tblCellMar>
        </w:tblPrEx>
        <w:trPr>
          <w:trHeight w:val="417" w:hRule="exact"/>
          <w:jc w:val="center"/>
        </w:trPr>
        <w:tc>
          <w:tcPr>
            <w:tcW w:w="7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4"/>
              </w:rPr>
            </w:pPr>
            <w:r>
              <w:rPr>
                <w:rFonts w:hint="eastAsia" w:ascii="仿宋" w:hAnsi="仿宋" w:eastAsia="仿宋"/>
                <w:color w:val="auto"/>
                <w:sz w:val="24"/>
              </w:rPr>
              <w:t>4</w:t>
            </w:r>
          </w:p>
        </w:tc>
        <w:tc>
          <w:tcPr>
            <w:tcW w:w="22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rFonts w:ascii="仿宋" w:hAnsi="仿宋" w:eastAsia="仿宋"/>
                <w:color w:val="auto"/>
                <w:sz w:val="24"/>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ascii="仿宋" w:hAnsi="仿宋" w:eastAsia="仿宋"/>
                <w:color w:val="auto"/>
                <w:sz w:val="24"/>
              </w:rPr>
            </w:pPr>
          </w:p>
        </w:tc>
        <w:tc>
          <w:tcPr>
            <w:tcW w:w="1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ascii="仿宋" w:hAnsi="仿宋" w:eastAsia="仿宋"/>
                <w:color w:val="auto"/>
                <w:sz w:val="24"/>
              </w:rPr>
            </w:pPr>
          </w:p>
        </w:tc>
      </w:tr>
      <w:tr>
        <w:tblPrEx>
          <w:tblCellMar>
            <w:top w:w="0" w:type="dxa"/>
            <w:left w:w="0" w:type="dxa"/>
            <w:bottom w:w="0" w:type="dxa"/>
            <w:right w:w="0" w:type="dxa"/>
          </w:tblCellMar>
        </w:tblPrEx>
        <w:trPr>
          <w:trHeight w:val="417" w:hRule="exact"/>
          <w:jc w:val="center"/>
        </w:trPr>
        <w:tc>
          <w:tcPr>
            <w:tcW w:w="7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4"/>
              </w:rPr>
            </w:pPr>
            <w:r>
              <w:rPr>
                <w:rFonts w:hint="eastAsia" w:ascii="仿宋" w:hAnsi="仿宋" w:eastAsia="仿宋"/>
                <w:color w:val="auto"/>
                <w:sz w:val="24"/>
              </w:rPr>
              <w:t>5</w:t>
            </w:r>
          </w:p>
        </w:tc>
        <w:tc>
          <w:tcPr>
            <w:tcW w:w="22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rFonts w:ascii="仿宋" w:hAnsi="仿宋" w:eastAsia="仿宋"/>
                <w:color w:val="auto"/>
                <w:sz w:val="24"/>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ascii="仿宋" w:hAnsi="仿宋" w:eastAsia="仿宋"/>
                <w:color w:val="auto"/>
                <w:sz w:val="24"/>
              </w:rPr>
            </w:pPr>
          </w:p>
        </w:tc>
        <w:tc>
          <w:tcPr>
            <w:tcW w:w="1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ascii="仿宋" w:hAnsi="仿宋" w:eastAsia="仿宋"/>
                <w:color w:val="auto"/>
                <w:sz w:val="24"/>
              </w:rPr>
            </w:pPr>
          </w:p>
        </w:tc>
      </w:tr>
      <w:tr>
        <w:tblPrEx>
          <w:tblCellMar>
            <w:top w:w="0" w:type="dxa"/>
            <w:left w:w="0" w:type="dxa"/>
            <w:bottom w:w="0" w:type="dxa"/>
            <w:right w:w="0" w:type="dxa"/>
          </w:tblCellMar>
        </w:tblPrEx>
        <w:trPr>
          <w:trHeight w:val="417" w:hRule="exact"/>
          <w:jc w:val="center"/>
        </w:trPr>
        <w:tc>
          <w:tcPr>
            <w:tcW w:w="7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4"/>
              </w:rPr>
            </w:pPr>
            <w:r>
              <w:rPr>
                <w:rFonts w:hint="eastAsia" w:ascii="仿宋" w:hAnsi="仿宋" w:eastAsia="仿宋"/>
                <w:color w:val="auto"/>
                <w:sz w:val="24"/>
              </w:rPr>
              <w:t>6</w:t>
            </w:r>
          </w:p>
        </w:tc>
        <w:tc>
          <w:tcPr>
            <w:tcW w:w="22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rFonts w:ascii="仿宋" w:hAnsi="仿宋" w:eastAsia="仿宋"/>
                <w:color w:val="auto"/>
                <w:sz w:val="24"/>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ascii="仿宋" w:hAnsi="仿宋" w:eastAsia="仿宋"/>
                <w:color w:val="auto"/>
                <w:sz w:val="24"/>
              </w:rPr>
            </w:pPr>
          </w:p>
        </w:tc>
        <w:tc>
          <w:tcPr>
            <w:tcW w:w="1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ascii="仿宋" w:hAnsi="仿宋" w:eastAsia="仿宋"/>
                <w:color w:val="auto"/>
                <w:sz w:val="24"/>
              </w:rPr>
            </w:pPr>
          </w:p>
        </w:tc>
      </w:tr>
      <w:tr>
        <w:tblPrEx>
          <w:tblCellMar>
            <w:top w:w="0" w:type="dxa"/>
            <w:left w:w="0" w:type="dxa"/>
            <w:bottom w:w="0" w:type="dxa"/>
            <w:right w:w="0" w:type="dxa"/>
          </w:tblCellMar>
        </w:tblPrEx>
        <w:trPr>
          <w:trHeight w:val="417" w:hRule="exact"/>
          <w:jc w:val="center"/>
        </w:trPr>
        <w:tc>
          <w:tcPr>
            <w:tcW w:w="7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4"/>
              </w:rPr>
            </w:pPr>
            <w:r>
              <w:rPr>
                <w:rFonts w:hint="eastAsia" w:ascii="仿宋" w:hAnsi="仿宋" w:eastAsia="仿宋"/>
                <w:color w:val="auto"/>
                <w:sz w:val="24"/>
              </w:rPr>
              <w:t>7</w:t>
            </w:r>
          </w:p>
        </w:tc>
        <w:tc>
          <w:tcPr>
            <w:tcW w:w="22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rFonts w:ascii="仿宋" w:hAnsi="仿宋" w:eastAsia="仿宋"/>
                <w:color w:val="auto"/>
                <w:sz w:val="24"/>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ascii="仿宋" w:hAnsi="仿宋" w:eastAsia="仿宋"/>
                <w:color w:val="auto"/>
                <w:sz w:val="24"/>
              </w:rPr>
            </w:pPr>
          </w:p>
        </w:tc>
        <w:tc>
          <w:tcPr>
            <w:tcW w:w="1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ascii="仿宋" w:hAnsi="仿宋" w:eastAsia="仿宋"/>
                <w:color w:val="auto"/>
                <w:sz w:val="24"/>
              </w:rPr>
            </w:pPr>
          </w:p>
        </w:tc>
      </w:tr>
      <w:tr>
        <w:tblPrEx>
          <w:tblCellMar>
            <w:top w:w="0" w:type="dxa"/>
            <w:left w:w="0" w:type="dxa"/>
            <w:bottom w:w="0" w:type="dxa"/>
            <w:right w:w="0" w:type="dxa"/>
          </w:tblCellMar>
        </w:tblPrEx>
        <w:trPr>
          <w:trHeight w:val="417" w:hRule="exact"/>
          <w:jc w:val="center"/>
        </w:trPr>
        <w:tc>
          <w:tcPr>
            <w:tcW w:w="7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4"/>
              </w:rPr>
            </w:pPr>
            <w:r>
              <w:rPr>
                <w:rFonts w:hint="eastAsia" w:ascii="仿宋" w:hAnsi="仿宋" w:eastAsia="仿宋"/>
                <w:color w:val="auto"/>
                <w:sz w:val="24"/>
              </w:rPr>
              <w:t>8</w:t>
            </w:r>
          </w:p>
        </w:tc>
        <w:tc>
          <w:tcPr>
            <w:tcW w:w="22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rFonts w:ascii="仿宋" w:hAnsi="仿宋" w:eastAsia="仿宋"/>
                <w:color w:val="auto"/>
                <w:sz w:val="24"/>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ascii="仿宋" w:hAnsi="仿宋" w:eastAsia="仿宋"/>
                <w:color w:val="auto"/>
                <w:sz w:val="24"/>
              </w:rPr>
            </w:pPr>
          </w:p>
        </w:tc>
        <w:tc>
          <w:tcPr>
            <w:tcW w:w="1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ascii="仿宋" w:hAnsi="仿宋" w:eastAsia="仿宋"/>
                <w:color w:val="auto"/>
                <w:sz w:val="24"/>
              </w:rPr>
            </w:pPr>
          </w:p>
        </w:tc>
      </w:tr>
      <w:tr>
        <w:tblPrEx>
          <w:tblCellMar>
            <w:top w:w="0" w:type="dxa"/>
            <w:left w:w="0" w:type="dxa"/>
            <w:bottom w:w="0" w:type="dxa"/>
            <w:right w:w="0" w:type="dxa"/>
          </w:tblCellMar>
        </w:tblPrEx>
        <w:trPr>
          <w:trHeight w:val="417" w:hRule="exact"/>
          <w:jc w:val="center"/>
        </w:trPr>
        <w:tc>
          <w:tcPr>
            <w:tcW w:w="7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4"/>
              </w:rPr>
            </w:pPr>
            <w:r>
              <w:rPr>
                <w:rFonts w:hint="eastAsia" w:ascii="仿宋" w:hAnsi="仿宋" w:eastAsia="仿宋"/>
                <w:color w:val="auto"/>
                <w:sz w:val="24"/>
              </w:rPr>
              <w:t>9</w:t>
            </w:r>
          </w:p>
        </w:tc>
        <w:tc>
          <w:tcPr>
            <w:tcW w:w="22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rFonts w:ascii="仿宋" w:hAnsi="仿宋" w:eastAsia="仿宋"/>
                <w:color w:val="auto"/>
                <w:sz w:val="24"/>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ascii="仿宋" w:hAnsi="仿宋" w:eastAsia="仿宋"/>
                <w:color w:val="auto"/>
                <w:sz w:val="24"/>
              </w:rPr>
            </w:pPr>
          </w:p>
        </w:tc>
        <w:tc>
          <w:tcPr>
            <w:tcW w:w="1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ascii="仿宋" w:hAnsi="仿宋" w:eastAsia="仿宋"/>
                <w:color w:val="auto"/>
                <w:sz w:val="24"/>
              </w:rPr>
            </w:pPr>
          </w:p>
        </w:tc>
      </w:tr>
      <w:tr>
        <w:tblPrEx>
          <w:tblCellMar>
            <w:top w:w="0" w:type="dxa"/>
            <w:left w:w="0" w:type="dxa"/>
            <w:bottom w:w="0" w:type="dxa"/>
            <w:right w:w="0" w:type="dxa"/>
          </w:tblCellMar>
        </w:tblPrEx>
        <w:trPr>
          <w:trHeight w:val="417" w:hRule="exact"/>
          <w:jc w:val="center"/>
        </w:trPr>
        <w:tc>
          <w:tcPr>
            <w:tcW w:w="7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4"/>
              </w:rPr>
            </w:pPr>
            <w:r>
              <w:rPr>
                <w:rFonts w:hint="eastAsia" w:ascii="仿宋" w:hAnsi="仿宋" w:eastAsia="仿宋"/>
                <w:color w:val="auto"/>
                <w:sz w:val="24"/>
              </w:rPr>
              <w:t>10</w:t>
            </w:r>
          </w:p>
        </w:tc>
        <w:tc>
          <w:tcPr>
            <w:tcW w:w="22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rFonts w:ascii="仿宋" w:hAnsi="仿宋" w:eastAsia="仿宋"/>
                <w:color w:val="auto"/>
                <w:sz w:val="24"/>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ascii="仿宋" w:hAnsi="仿宋" w:eastAsia="仿宋"/>
                <w:color w:val="auto"/>
                <w:sz w:val="24"/>
              </w:rPr>
            </w:pPr>
          </w:p>
        </w:tc>
        <w:tc>
          <w:tcPr>
            <w:tcW w:w="1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ascii="仿宋" w:hAnsi="仿宋" w:eastAsia="仿宋"/>
                <w:color w:val="auto"/>
                <w:sz w:val="24"/>
              </w:rPr>
            </w:pPr>
          </w:p>
        </w:tc>
      </w:tr>
      <w:tr>
        <w:tblPrEx>
          <w:tblCellMar>
            <w:top w:w="0" w:type="dxa"/>
            <w:left w:w="0" w:type="dxa"/>
            <w:bottom w:w="0" w:type="dxa"/>
            <w:right w:w="0" w:type="dxa"/>
          </w:tblCellMar>
        </w:tblPrEx>
        <w:trPr>
          <w:trHeight w:val="417" w:hRule="exact"/>
          <w:jc w:val="center"/>
        </w:trPr>
        <w:tc>
          <w:tcPr>
            <w:tcW w:w="7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4"/>
              </w:rPr>
            </w:pPr>
          </w:p>
        </w:tc>
        <w:tc>
          <w:tcPr>
            <w:tcW w:w="22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rFonts w:ascii="仿宋" w:hAnsi="仿宋" w:eastAsia="仿宋"/>
                <w:b/>
                <w:color w:val="auto"/>
                <w:sz w:val="24"/>
              </w:rPr>
            </w:pPr>
            <w:r>
              <w:rPr>
                <w:rFonts w:hint="eastAsia" w:ascii="仿宋" w:hAnsi="仿宋" w:eastAsia="仿宋"/>
                <w:color w:val="auto"/>
                <w:sz w:val="24"/>
              </w:rPr>
              <w:t>……</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 w:hAnsi="仿宋" w:eastAsia="仿宋"/>
                <w:color w:val="auto"/>
                <w:sz w:val="24"/>
              </w:rPr>
            </w:pPr>
          </w:p>
        </w:tc>
        <w:tc>
          <w:tcPr>
            <w:tcW w:w="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ascii="仿宋" w:hAnsi="仿宋" w:eastAsia="仿宋"/>
                <w:color w:val="auto"/>
                <w:sz w:val="24"/>
              </w:rPr>
            </w:pPr>
          </w:p>
        </w:tc>
        <w:tc>
          <w:tcPr>
            <w:tcW w:w="1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ascii="仿宋" w:hAnsi="仿宋" w:eastAsia="仿宋"/>
                <w:color w:val="auto"/>
                <w:sz w:val="24"/>
              </w:rPr>
            </w:pPr>
          </w:p>
        </w:tc>
      </w:tr>
    </w:tbl>
    <w:p>
      <w:pPr>
        <w:snapToGrid w:val="0"/>
        <w:spacing w:line="400" w:lineRule="exact"/>
        <w:rPr>
          <w:rFonts w:ascii="仿宋" w:hAnsi="仿宋" w:eastAsia="仿宋"/>
          <w:color w:val="auto"/>
          <w:sz w:val="24"/>
        </w:rPr>
      </w:pPr>
      <w:r>
        <w:rPr>
          <w:rFonts w:hint="eastAsia" w:ascii="仿宋" w:hAnsi="仿宋" w:eastAsia="仿宋"/>
          <w:color w:val="auto"/>
          <w:sz w:val="24"/>
        </w:rPr>
        <w:t>注：1.供应商应完整填写本表。</w:t>
      </w:r>
    </w:p>
    <w:p>
      <w:pPr>
        <w:snapToGrid w:val="0"/>
        <w:spacing w:line="400" w:lineRule="exact"/>
        <w:rPr>
          <w:rFonts w:ascii="仿宋" w:hAnsi="仿宋" w:eastAsia="仿宋"/>
          <w:color w:val="auto"/>
          <w:sz w:val="24"/>
        </w:rPr>
      </w:pPr>
      <w:r>
        <w:rPr>
          <w:rFonts w:hint="eastAsia" w:ascii="仿宋" w:hAnsi="仿宋" w:eastAsia="仿宋"/>
          <w:color w:val="auto"/>
          <w:sz w:val="24"/>
        </w:rPr>
        <w:t xml:space="preserve">    2.该表可扩展</w:t>
      </w:r>
      <w:bookmarkStart w:id="28" w:name="OLE_LINK2"/>
      <w:r>
        <w:rPr>
          <w:rFonts w:hint="eastAsia" w:ascii="仿宋" w:hAnsi="仿宋" w:eastAsia="仿宋"/>
          <w:color w:val="auto"/>
          <w:sz w:val="24"/>
        </w:rPr>
        <w:t>，并逐页签字或盖章。</w:t>
      </w:r>
      <w:bookmarkEnd w:id="28"/>
    </w:p>
    <w:p>
      <w:pPr>
        <w:snapToGrid w:val="0"/>
        <w:spacing w:line="400" w:lineRule="exact"/>
        <w:ind w:firstLine="482"/>
        <w:rPr>
          <w:rFonts w:ascii="仿宋" w:hAnsi="仿宋" w:eastAsia="仿宋"/>
          <w:color w:val="auto"/>
          <w:sz w:val="24"/>
        </w:rPr>
      </w:pPr>
      <w:r>
        <w:rPr>
          <w:rFonts w:hint="eastAsia" w:ascii="仿宋" w:hAnsi="仿宋" w:eastAsia="仿宋"/>
          <w:color w:val="auto"/>
          <w:sz w:val="24"/>
        </w:rPr>
        <w:t>3</w:t>
      </w:r>
      <w:r>
        <w:rPr>
          <w:rFonts w:ascii="仿宋" w:hAnsi="仿宋" w:eastAsia="仿宋"/>
          <w:color w:val="auto"/>
          <w:sz w:val="24"/>
        </w:rPr>
        <w:t>.</w:t>
      </w:r>
      <w:r>
        <w:rPr>
          <w:rFonts w:hint="eastAsia" w:ascii="仿宋" w:hAnsi="仿宋" w:eastAsia="仿宋"/>
          <w:color w:val="auto"/>
          <w:sz w:val="24"/>
        </w:rPr>
        <w:t>供应商须在响应文件“明细报价表”的“相关信息”一栏中详细列出明细报价组成情况。若明细内容较多的，供应商可自行增加列表。</w:t>
      </w:r>
    </w:p>
    <w:p>
      <w:pPr>
        <w:snapToGrid w:val="0"/>
        <w:spacing w:line="400" w:lineRule="exact"/>
        <w:ind w:firstLine="480"/>
        <w:rPr>
          <w:rFonts w:ascii="仿宋" w:hAnsi="仿宋" w:eastAsia="仿宋"/>
          <w:color w:val="auto"/>
          <w:sz w:val="24"/>
        </w:rPr>
      </w:pPr>
    </w:p>
    <w:p>
      <w:pPr>
        <w:snapToGrid w:val="0"/>
        <w:spacing w:line="400" w:lineRule="exact"/>
        <w:rPr>
          <w:rFonts w:ascii="仿宋" w:hAnsi="仿宋" w:eastAsia="仿宋"/>
          <w:color w:val="auto"/>
          <w:sz w:val="24"/>
        </w:rPr>
      </w:pPr>
    </w:p>
    <w:p>
      <w:pPr>
        <w:snapToGrid w:val="0"/>
        <w:spacing w:line="400" w:lineRule="exact"/>
        <w:ind w:right="960"/>
        <w:jc w:val="right"/>
        <w:rPr>
          <w:rFonts w:ascii="仿宋" w:hAnsi="仿宋" w:eastAsia="仿宋"/>
          <w:color w:val="auto"/>
          <w:sz w:val="24"/>
        </w:rPr>
      </w:pPr>
      <w:r>
        <w:rPr>
          <w:rFonts w:hint="eastAsia" w:ascii="仿宋" w:hAnsi="仿宋" w:eastAsia="仿宋"/>
          <w:color w:val="auto"/>
          <w:sz w:val="24"/>
        </w:rPr>
        <w:t xml:space="preserve"> 供应商名称（公章）：</w:t>
      </w:r>
    </w:p>
    <w:p>
      <w:pPr>
        <w:snapToGrid w:val="0"/>
        <w:spacing w:line="400" w:lineRule="exact"/>
        <w:ind w:right="480" w:firstLine="6480"/>
        <w:rPr>
          <w:rFonts w:ascii="仿宋" w:hAnsi="仿宋" w:eastAsia="仿宋"/>
          <w:color w:val="auto"/>
          <w:sz w:val="24"/>
        </w:rPr>
      </w:pPr>
      <w:r>
        <w:rPr>
          <w:rFonts w:hint="eastAsia" w:ascii="仿宋" w:hAnsi="仿宋" w:eastAsia="仿宋"/>
          <w:color w:val="auto"/>
          <w:sz w:val="24"/>
        </w:rPr>
        <w:t>年     月    日</w:t>
      </w:r>
    </w:p>
    <w:p>
      <w:pPr>
        <w:snapToGrid w:val="0"/>
        <w:spacing w:line="400" w:lineRule="exact"/>
        <w:ind w:right="480" w:firstLine="6480"/>
        <w:rPr>
          <w:color w:val="auto"/>
        </w:rPr>
        <w:sectPr>
          <w:pgSz w:w="11907" w:h="16840"/>
          <w:pgMar w:top="1134" w:right="1191" w:bottom="1134" w:left="1191" w:header="851" w:footer="992" w:gutter="0"/>
          <w:cols w:space="720" w:num="1"/>
          <w:docGrid w:linePitch="380" w:charSpace="0"/>
        </w:sectPr>
      </w:pPr>
    </w:p>
    <w:p>
      <w:pPr>
        <w:snapToGrid w:val="0"/>
        <w:spacing w:line="360" w:lineRule="auto"/>
        <w:ind w:firstLine="482"/>
        <w:rPr>
          <w:rFonts w:ascii="仿宋" w:hAnsi="仿宋" w:eastAsia="仿宋"/>
          <w:b/>
          <w:color w:val="auto"/>
          <w:sz w:val="28"/>
        </w:rPr>
      </w:pPr>
      <w:r>
        <w:rPr>
          <w:rFonts w:hint="eastAsia" w:ascii="仿宋" w:hAnsi="仿宋" w:eastAsia="仿宋"/>
          <w:b/>
          <w:color w:val="auto"/>
          <w:sz w:val="28"/>
        </w:rPr>
        <w:t>二、服务部分</w:t>
      </w:r>
    </w:p>
    <w:p>
      <w:pPr>
        <w:snapToGrid w:val="0"/>
        <w:spacing w:line="360" w:lineRule="auto"/>
        <w:ind w:firstLine="480"/>
        <w:rPr>
          <w:rFonts w:ascii="仿宋" w:hAnsi="仿宋" w:eastAsia="仿宋"/>
          <w:color w:val="auto"/>
          <w:sz w:val="24"/>
        </w:rPr>
      </w:pPr>
      <w:r>
        <w:rPr>
          <w:rFonts w:hint="eastAsia" w:ascii="仿宋" w:hAnsi="仿宋" w:eastAsia="仿宋"/>
          <w:color w:val="auto"/>
          <w:sz w:val="24"/>
        </w:rPr>
        <w:t>（一）服务方案（格式自定）：</w:t>
      </w:r>
    </w:p>
    <w:p>
      <w:pPr>
        <w:tabs>
          <w:tab w:val="left" w:pos="6300"/>
        </w:tabs>
        <w:snapToGrid w:val="0"/>
        <w:spacing w:line="500" w:lineRule="exact"/>
        <w:ind w:firstLine="480"/>
        <w:rPr>
          <w:rFonts w:ascii="仿宋" w:hAnsi="仿宋" w:eastAsia="仿宋"/>
          <w:color w:val="auto"/>
          <w:sz w:val="24"/>
        </w:rPr>
      </w:pPr>
      <w:r>
        <w:rPr>
          <w:rFonts w:hint="eastAsia" w:ascii="仿宋" w:hAnsi="仿宋" w:eastAsia="仿宋"/>
          <w:color w:val="auto"/>
          <w:sz w:val="24"/>
        </w:rPr>
        <w:t>供应商须对重庆主题展馆及序馆分别提供不低于2套不同风格的设计方案。</w:t>
      </w:r>
    </w:p>
    <w:p>
      <w:pPr>
        <w:tabs>
          <w:tab w:val="left" w:pos="6300"/>
        </w:tabs>
        <w:snapToGrid w:val="0"/>
        <w:spacing w:line="500" w:lineRule="exact"/>
        <w:ind w:firstLine="480"/>
        <w:rPr>
          <w:rFonts w:ascii="仿宋" w:hAnsi="仿宋" w:eastAsia="仿宋"/>
          <w:color w:val="auto"/>
          <w:sz w:val="24"/>
        </w:rPr>
      </w:pPr>
      <w:r>
        <w:rPr>
          <w:rFonts w:hint="eastAsia" w:ascii="仿宋" w:hAnsi="仿宋" w:eastAsia="仿宋"/>
          <w:color w:val="auto"/>
          <w:sz w:val="24"/>
        </w:rPr>
        <w:t>（二）服务响应偏离表</w:t>
      </w:r>
    </w:p>
    <w:p>
      <w:pPr>
        <w:tabs>
          <w:tab w:val="left" w:pos="6300"/>
        </w:tabs>
        <w:snapToGrid w:val="0"/>
        <w:spacing w:line="500" w:lineRule="exact"/>
        <w:ind w:firstLine="480"/>
        <w:rPr>
          <w:rFonts w:ascii="仿宋" w:hAnsi="仿宋" w:eastAsia="仿宋"/>
          <w:color w:val="auto"/>
          <w:sz w:val="24"/>
        </w:rPr>
      </w:pPr>
      <w:r>
        <w:rPr>
          <w:rFonts w:hint="eastAsia" w:ascii="仿宋" w:hAnsi="仿宋" w:eastAsia="仿宋"/>
          <w:color w:val="auto"/>
          <w:sz w:val="24"/>
        </w:rPr>
        <w:t>采购项目名称：</w:t>
      </w:r>
    </w:p>
    <w:tbl>
      <w:tblPr>
        <w:tblStyle w:val="7"/>
        <w:tblW w:w="8622" w:type="dxa"/>
        <w:jc w:val="center"/>
        <w:tblLayout w:type="fixed"/>
        <w:tblCellMar>
          <w:top w:w="0" w:type="dxa"/>
          <w:left w:w="0" w:type="dxa"/>
          <w:bottom w:w="0" w:type="dxa"/>
          <w:right w:w="0" w:type="dxa"/>
        </w:tblCellMar>
      </w:tblPr>
      <w:tblGrid>
        <w:gridCol w:w="1138"/>
        <w:gridCol w:w="2658"/>
        <w:gridCol w:w="2759"/>
        <w:gridCol w:w="2067"/>
      </w:tblGrid>
      <w:tr>
        <w:tblPrEx>
          <w:tblCellMar>
            <w:top w:w="0" w:type="dxa"/>
            <w:left w:w="0" w:type="dxa"/>
            <w:bottom w:w="0" w:type="dxa"/>
            <w:right w:w="0" w:type="dxa"/>
          </w:tblCellMar>
        </w:tblPrEx>
        <w:trPr>
          <w:trHeight w:val="515" w:hRule="atLeast"/>
          <w:jc w:val="center"/>
        </w:trPr>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r>
              <w:rPr>
                <w:rFonts w:hint="eastAsia" w:ascii="仿宋" w:hAnsi="仿宋" w:eastAsia="仿宋"/>
                <w:color w:val="auto"/>
                <w:sz w:val="24"/>
              </w:rPr>
              <w:t>序号</w:t>
            </w:r>
          </w:p>
        </w:tc>
        <w:tc>
          <w:tcPr>
            <w:tcW w:w="26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r>
              <w:rPr>
                <w:rFonts w:hint="eastAsia" w:ascii="仿宋" w:hAnsi="仿宋" w:eastAsia="仿宋"/>
                <w:color w:val="auto"/>
                <w:sz w:val="24"/>
              </w:rPr>
              <w:t>采购需求</w:t>
            </w:r>
          </w:p>
        </w:tc>
        <w:tc>
          <w:tcPr>
            <w:tcW w:w="27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r>
              <w:rPr>
                <w:rFonts w:hint="eastAsia" w:ascii="仿宋" w:hAnsi="仿宋" w:eastAsia="仿宋"/>
                <w:color w:val="auto"/>
                <w:sz w:val="24"/>
              </w:rPr>
              <w:t>响应情况</w:t>
            </w: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r>
              <w:rPr>
                <w:rFonts w:hint="eastAsia" w:ascii="仿宋" w:hAnsi="仿宋" w:eastAsia="仿宋"/>
                <w:color w:val="auto"/>
                <w:sz w:val="24"/>
              </w:rPr>
              <w:t>差异说明</w:t>
            </w:r>
          </w:p>
        </w:tc>
      </w:tr>
      <w:tr>
        <w:tblPrEx>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c>
          <w:tcPr>
            <w:tcW w:w="26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c>
          <w:tcPr>
            <w:tcW w:w="27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r>
      <w:tr>
        <w:tblPrEx>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c>
          <w:tcPr>
            <w:tcW w:w="26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c>
          <w:tcPr>
            <w:tcW w:w="27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r>
      <w:tr>
        <w:tblPrEx>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c>
          <w:tcPr>
            <w:tcW w:w="26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c>
          <w:tcPr>
            <w:tcW w:w="27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r>
      <w:tr>
        <w:tblPrEx>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c>
          <w:tcPr>
            <w:tcW w:w="26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c>
          <w:tcPr>
            <w:tcW w:w="27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r>
      <w:tr>
        <w:tblPrEx>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c>
          <w:tcPr>
            <w:tcW w:w="26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c>
          <w:tcPr>
            <w:tcW w:w="27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r>
      <w:tr>
        <w:tblPrEx>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c>
          <w:tcPr>
            <w:tcW w:w="26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c>
          <w:tcPr>
            <w:tcW w:w="27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r>
      <w:tr>
        <w:tblPrEx>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c>
          <w:tcPr>
            <w:tcW w:w="26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c>
          <w:tcPr>
            <w:tcW w:w="27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r>
      <w:tr>
        <w:tblPrEx>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c>
          <w:tcPr>
            <w:tcW w:w="26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c>
          <w:tcPr>
            <w:tcW w:w="27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napToGrid w:val="0"/>
              <w:spacing w:line="500" w:lineRule="exact"/>
              <w:jc w:val="center"/>
              <w:rPr>
                <w:rFonts w:ascii="仿宋" w:hAnsi="仿宋" w:eastAsia="仿宋"/>
                <w:color w:val="auto"/>
                <w:sz w:val="24"/>
              </w:rPr>
            </w:pPr>
          </w:p>
        </w:tc>
      </w:tr>
    </w:tbl>
    <w:p>
      <w:pPr>
        <w:snapToGrid w:val="0"/>
        <w:spacing w:line="500" w:lineRule="exact"/>
        <w:ind w:firstLine="600"/>
        <w:rPr>
          <w:rFonts w:ascii="仿宋" w:hAnsi="仿宋" w:eastAsia="仿宋"/>
          <w:color w:val="auto"/>
          <w:sz w:val="24"/>
        </w:rPr>
      </w:pPr>
      <w:r>
        <w:rPr>
          <w:rFonts w:hint="eastAsia" w:ascii="仿宋" w:hAnsi="仿宋" w:eastAsia="仿宋"/>
          <w:color w:val="auto"/>
          <w:sz w:val="24"/>
        </w:rPr>
        <w:t>供应商：                            法定代表人或其授权代表：</w:t>
      </w:r>
    </w:p>
    <w:p>
      <w:pPr>
        <w:snapToGrid w:val="0"/>
        <w:spacing w:line="500" w:lineRule="exact"/>
        <w:rPr>
          <w:rFonts w:ascii="仿宋" w:hAnsi="仿宋" w:eastAsia="仿宋"/>
          <w:color w:val="auto"/>
          <w:sz w:val="24"/>
        </w:rPr>
      </w:pPr>
    </w:p>
    <w:p>
      <w:pPr>
        <w:snapToGrid w:val="0"/>
        <w:spacing w:line="500" w:lineRule="exact"/>
        <w:ind w:firstLine="720"/>
        <w:rPr>
          <w:rFonts w:ascii="仿宋" w:hAnsi="仿宋" w:eastAsia="仿宋"/>
          <w:color w:val="auto"/>
          <w:sz w:val="24"/>
        </w:rPr>
      </w:pPr>
      <w:r>
        <w:rPr>
          <w:rFonts w:hint="eastAsia" w:ascii="仿宋" w:hAnsi="仿宋" w:eastAsia="仿宋"/>
          <w:color w:val="auto"/>
          <w:sz w:val="24"/>
        </w:rPr>
        <w:t>（供应商公章）                               （签字或盖章）</w:t>
      </w: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 xml:space="preserve">                                              年     月     日</w:t>
      </w:r>
    </w:p>
    <w:p>
      <w:pPr>
        <w:tabs>
          <w:tab w:val="left" w:pos="6300"/>
        </w:tabs>
        <w:snapToGrid w:val="0"/>
        <w:spacing w:line="500" w:lineRule="exact"/>
        <w:ind w:firstLine="480"/>
        <w:rPr>
          <w:rFonts w:ascii="仿宋" w:hAnsi="仿宋" w:eastAsia="仿宋"/>
          <w:color w:val="auto"/>
          <w:sz w:val="24"/>
        </w:rPr>
      </w:pPr>
      <w:r>
        <w:rPr>
          <w:rFonts w:hint="eastAsia" w:ascii="仿宋" w:hAnsi="仿宋" w:eastAsia="仿宋"/>
          <w:color w:val="auto"/>
          <w:sz w:val="24"/>
        </w:rPr>
        <w:t>注：</w:t>
      </w:r>
    </w:p>
    <w:p>
      <w:pPr>
        <w:tabs>
          <w:tab w:val="left" w:pos="6300"/>
        </w:tabs>
        <w:snapToGrid w:val="0"/>
        <w:spacing w:line="500" w:lineRule="exact"/>
        <w:ind w:firstLine="480"/>
        <w:rPr>
          <w:rFonts w:ascii="仿宋" w:hAnsi="仿宋" w:eastAsia="仿宋"/>
          <w:color w:val="auto"/>
          <w:sz w:val="24"/>
        </w:rPr>
      </w:pPr>
      <w:r>
        <w:rPr>
          <w:rFonts w:hint="eastAsia" w:ascii="仿宋" w:hAnsi="仿宋" w:eastAsia="仿宋"/>
          <w:color w:val="auto"/>
          <w:sz w:val="24"/>
        </w:rPr>
        <w:t>1.本表即为对本项目“第二篇  项目服务需求”中所列技术要求进行比较和响应；</w:t>
      </w:r>
    </w:p>
    <w:p>
      <w:pPr>
        <w:tabs>
          <w:tab w:val="left" w:pos="6300"/>
        </w:tabs>
        <w:snapToGrid w:val="0"/>
        <w:spacing w:line="500" w:lineRule="exact"/>
        <w:ind w:firstLine="480"/>
        <w:rPr>
          <w:rFonts w:ascii="仿宋" w:hAnsi="仿宋" w:eastAsia="仿宋"/>
          <w:color w:val="auto"/>
          <w:sz w:val="24"/>
        </w:rPr>
      </w:pPr>
      <w:r>
        <w:rPr>
          <w:rFonts w:hint="eastAsia" w:ascii="仿宋" w:hAnsi="仿宋" w:eastAsia="仿宋"/>
          <w:color w:val="auto"/>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rPr>
          <w:rFonts w:ascii="仿宋" w:hAnsi="仿宋" w:eastAsia="仿宋"/>
          <w:color w:val="auto"/>
          <w:sz w:val="24"/>
        </w:rPr>
      </w:pPr>
      <w:r>
        <w:rPr>
          <w:rFonts w:hint="eastAsia" w:ascii="仿宋" w:hAnsi="仿宋" w:eastAsia="仿宋"/>
          <w:color w:val="auto"/>
          <w:sz w:val="24"/>
        </w:rPr>
        <w:t>3.该表可扩展，并逐页签字或盖章；</w:t>
      </w:r>
    </w:p>
    <w:p>
      <w:pPr>
        <w:tabs>
          <w:tab w:val="left" w:pos="6300"/>
        </w:tabs>
        <w:snapToGrid w:val="0"/>
        <w:spacing w:line="500" w:lineRule="exact"/>
        <w:ind w:firstLine="480"/>
        <w:rPr>
          <w:rFonts w:ascii="仿宋" w:hAnsi="仿宋" w:eastAsia="仿宋"/>
          <w:color w:val="auto"/>
          <w:sz w:val="24"/>
        </w:rPr>
      </w:pPr>
      <w:r>
        <w:rPr>
          <w:rFonts w:hint="eastAsia" w:ascii="仿宋" w:hAnsi="仿宋" w:eastAsia="仿宋"/>
          <w:color w:val="auto"/>
          <w:sz w:val="24"/>
        </w:rPr>
        <w:t>4.可附相关技术支撑材料。（格式自定）</w:t>
      </w:r>
    </w:p>
    <w:p>
      <w:pPr>
        <w:tabs>
          <w:tab w:val="left" w:pos="6300"/>
        </w:tabs>
        <w:snapToGrid w:val="0"/>
        <w:spacing w:line="500" w:lineRule="exact"/>
        <w:ind w:firstLine="480"/>
        <w:rPr>
          <w:rFonts w:ascii="仿宋" w:hAnsi="仿宋" w:eastAsia="仿宋"/>
          <w:color w:val="auto"/>
          <w:sz w:val="24"/>
        </w:rPr>
      </w:pPr>
    </w:p>
    <w:p>
      <w:pPr>
        <w:tabs>
          <w:tab w:val="left" w:pos="6300"/>
        </w:tabs>
        <w:snapToGrid w:val="0"/>
        <w:spacing w:line="500" w:lineRule="exact"/>
        <w:rPr>
          <w:rFonts w:ascii="仿宋" w:hAnsi="仿宋" w:eastAsia="仿宋"/>
          <w:color w:val="auto"/>
          <w:sz w:val="24"/>
        </w:rPr>
      </w:pPr>
    </w:p>
    <w:p>
      <w:pPr>
        <w:pageBreakBefore/>
        <w:snapToGrid w:val="0"/>
        <w:spacing w:line="360" w:lineRule="auto"/>
        <w:ind w:firstLine="482"/>
        <w:rPr>
          <w:rFonts w:ascii="仿宋" w:hAnsi="仿宋" w:eastAsia="仿宋"/>
          <w:b/>
          <w:color w:val="auto"/>
          <w:sz w:val="28"/>
        </w:rPr>
      </w:pPr>
      <w:r>
        <w:rPr>
          <w:rFonts w:hint="eastAsia" w:ascii="仿宋" w:hAnsi="仿宋" w:eastAsia="仿宋"/>
          <w:b/>
          <w:color w:val="auto"/>
          <w:sz w:val="28"/>
        </w:rPr>
        <w:t>三、商务部分</w:t>
      </w:r>
    </w:p>
    <w:p>
      <w:pPr>
        <w:keepNext w:val="0"/>
        <w:keepLines w:val="0"/>
        <w:pageBreakBefore w:val="0"/>
        <w:widowControl w:val="0"/>
        <w:kinsoku/>
        <w:wordWrap/>
        <w:overflowPunct/>
        <w:topLinePunct w:val="0"/>
        <w:autoSpaceDE/>
        <w:autoSpaceDN/>
        <w:bidi w:val="0"/>
        <w:adjustRightInd/>
        <w:snapToGrid w:val="0"/>
        <w:spacing w:line="500" w:lineRule="exact"/>
        <w:ind w:firstLine="480"/>
        <w:textAlignment w:val="auto"/>
        <w:rPr>
          <w:rFonts w:ascii="仿宋" w:hAnsi="仿宋" w:eastAsia="仿宋"/>
          <w:color w:val="auto"/>
          <w:sz w:val="24"/>
        </w:rPr>
      </w:pPr>
      <w:r>
        <w:rPr>
          <w:rFonts w:hint="eastAsia" w:ascii="仿宋" w:hAnsi="仿宋" w:eastAsia="仿宋"/>
          <w:color w:val="auto"/>
          <w:sz w:val="24"/>
        </w:rPr>
        <w:t>（一）商务要求响应情况（格式自定）</w:t>
      </w:r>
    </w:p>
    <w:p>
      <w:pPr>
        <w:keepNext w:val="0"/>
        <w:keepLines w:val="0"/>
        <w:pageBreakBefore w:val="0"/>
        <w:widowControl w:val="0"/>
        <w:kinsoku/>
        <w:wordWrap/>
        <w:overflowPunct/>
        <w:topLinePunct w:val="0"/>
        <w:autoSpaceDE/>
        <w:autoSpaceDN/>
        <w:bidi w:val="0"/>
        <w:adjustRightInd/>
        <w:snapToGrid w:val="0"/>
        <w:spacing w:line="500" w:lineRule="exact"/>
        <w:ind w:firstLine="480"/>
        <w:textAlignment w:val="auto"/>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二</w:t>
      </w:r>
      <w:r>
        <w:rPr>
          <w:rFonts w:hint="eastAsia" w:ascii="仿宋" w:hAnsi="仿宋" w:eastAsia="仿宋"/>
          <w:color w:val="auto"/>
          <w:sz w:val="24"/>
        </w:rPr>
        <w:t>）商务评审需提供的资料（格式自定）</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三</w:t>
      </w:r>
      <w:r>
        <w:rPr>
          <w:rFonts w:hint="eastAsia" w:ascii="仿宋" w:hAnsi="仿宋" w:eastAsia="仿宋"/>
          <w:color w:val="auto"/>
          <w:sz w:val="24"/>
        </w:rPr>
        <w:t>）其它优惠承诺（格式自定）</w:t>
      </w:r>
    </w:p>
    <w:p>
      <w:pPr>
        <w:tabs>
          <w:tab w:val="left" w:pos="6300"/>
        </w:tabs>
        <w:snapToGrid w:val="0"/>
        <w:spacing w:line="360" w:lineRule="auto"/>
        <w:rPr>
          <w:rFonts w:ascii="仿宋" w:hAnsi="仿宋" w:eastAsia="仿宋"/>
          <w:color w:val="auto"/>
          <w:sz w:val="24"/>
        </w:rPr>
      </w:pPr>
    </w:p>
    <w:p>
      <w:pPr>
        <w:pageBreakBefore/>
        <w:snapToGrid w:val="0"/>
        <w:spacing w:line="360" w:lineRule="auto"/>
        <w:ind w:firstLine="482"/>
        <w:rPr>
          <w:rFonts w:ascii="仿宋" w:hAnsi="仿宋" w:eastAsia="仿宋"/>
          <w:b/>
          <w:color w:val="auto"/>
          <w:sz w:val="28"/>
        </w:rPr>
      </w:pPr>
      <w:r>
        <w:rPr>
          <w:rFonts w:hint="eastAsia" w:ascii="仿宋" w:hAnsi="仿宋" w:eastAsia="仿宋"/>
          <w:b/>
          <w:color w:val="auto"/>
          <w:sz w:val="28"/>
        </w:rPr>
        <w:t>四、资格条件及其他</w:t>
      </w:r>
    </w:p>
    <w:p>
      <w:pPr>
        <w:numPr>
          <w:ilvl w:val="0"/>
          <w:numId w:val="3"/>
        </w:numPr>
        <w:tabs>
          <w:tab w:val="left" w:pos="6300"/>
        </w:tabs>
        <w:snapToGrid w:val="0"/>
        <w:spacing w:line="360" w:lineRule="auto"/>
        <w:ind w:firstLine="480"/>
        <w:rPr>
          <w:rFonts w:ascii="仿宋" w:hAnsi="仿宋" w:eastAsia="仿宋"/>
          <w:color w:val="auto"/>
          <w:sz w:val="24"/>
        </w:rPr>
      </w:pPr>
      <w:r>
        <w:rPr>
          <w:rFonts w:hint="eastAsia" w:ascii="仿宋" w:hAnsi="仿宋" w:eastAsia="仿宋"/>
          <w:color w:val="auto"/>
          <w:sz w:val="24"/>
        </w:rPr>
        <w:t>基本资格条件</w:t>
      </w:r>
    </w:p>
    <w:p>
      <w:pPr>
        <w:tabs>
          <w:tab w:val="left" w:pos="6300"/>
        </w:tabs>
        <w:snapToGrid w:val="0"/>
        <w:spacing w:line="360" w:lineRule="auto"/>
        <w:ind w:firstLine="570"/>
        <w:rPr>
          <w:rFonts w:ascii="仿宋" w:hAnsi="仿宋" w:eastAsia="仿宋"/>
          <w:color w:val="auto"/>
          <w:sz w:val="24"/>
        </w:rPr>
      </w:pPr>
      <w:r>
        <w:rPr>
          <w:rFonts w:hint="eastAsia" w:ascii="仿宋" w:hAnsi="仿宋" w:eastAsia="仿宋"/>
          <w:color w:val="auto"/>
          <w:sz w:val="24"/>
        </w:rPr>
        <w:t>1.营业执照（副本）或事业单位法人证书（副本）复印件</w:t>
      </w:r>
    </w:p>
    <w:p>
      <w:pPr>
        <w:tabs>
          <w:tab w:val="left" w:pos="6300"/>
        </w:tabs>
        <w:snapToGrid w:val="0"/>
        <w:spacing w:line="360" w:lineRule="auto"/>
        <w:ind w:firstLine="570"/>
        <w:rPr>
          <w:rFonts w:ascii="仿宋" w:hAnsi="仿宋" w:eastAsia="仿宋"/>
          <w:color w:val="auto"/>
          <w:sz w:val="24"/>
        </w:rPr>
      </w:pPr>
    </w:p>
    <w:p>
      <w:pPr>
        <w:tabs>
          <w:tab w:val="left" w:pos="6300"/>
        </w:tabs>
        <w:snapToGrid w:val="0"/>
        <w:spacing w:line="360" w:lineRule="auto"/>
        <w:ind w:firstLine="570"/>
        <w:rPr>
          <w:rFonts w:ascii="仿宋" w:hAnsi="仿宋" w:eastAsia="仿宋"/>
          <w:color w:val="auto"/>
          <w:sz w:val="24"/>
        </w:rPr>
      </w:pPr>
      <w:r>
        <w:rPr>
          <w:rFonts w:hint="eastAsia" w:ascii="仿宋" w:hAnsi="仿宋" w:eastAsia="仿宋"/>
          <w:color w:val="auto"/>
          <w:sz w:val="24"/>
        </w:rPr>
        <w:t>2.组织机构代码证复印件</w:t>
      </w:r>
    </w:p>
    <w:p>
      <w:pPr>
        <w:tabs>
          <w:tab w:val="left" w:pos="6300"/>
        </w:tabs>
        <w:snapToGrid w:val="0"/>
        <w:spacing w:line="360" w:lineRule="auto"/>
        <w:ind w:firstLine="570"/>
        <w:rPr>
          <w:rFonts w:ascii="仿宋" w:hAnsi="仿宋" w:eastAsia="仿宋"/>
          <w:color w:val="auto"/>
          <w:sz w:val="24"/>
        </w:rPr>
      </w:pPr>
    </w:p>
    <w:p>
      <w:pPr>
        <w:widowControl/>
        <w:snapToGrid w:val="0"/>
        <w:spacing w:line="360" w:lineRule="auto"/>
        <w:ind w:firstLine="480"/>
        <w:jc w:val="left"/>
        <w:rPr>
          <w:rFonts w:ascii="仿宋" w:hAnsi="仿宋" w:eastAsia="仿宋"/>
          <w:color w:val="auto"/>
          <w:sz w:val="24"/>
        </w:rPr>
      </w:pPr>
      <w:r>
        <w:rPr>
          <w:rFonts w:hint="eastAsia" w:ascii="仿宋" w:hAnsi="仿宋" w:eastAsia="仿宋"/>
          <w:color w:val="auto"/>
          <w:sz w:val="24"/>
        </w:rPr>
        <w:t>3.法定代表人身份证明书（格式）</w:t>
      </w:r>
    </w:p>
    <w:p>
      <w:pPr>
        <w:tabs>
          <w:tab w:val="left" w:pos="6300"/>
        </w:tabs>
        <w:snapToGrid w:val="0"/>
        <w:spacing w:line="500" w:lineRule="exact"/>
        <w:jc w:val="center"/>
        <w:rPr>
          <w:rFonts w:ascii="仿宋" w:hAnsi="仿宋" w:eastAsia="仿宋"/>
          <w:color w:val="auto"/>
          <w:sz w:val="24"/>
        </w:rPr>
      </w:pPr>
      <w:r>
        <w:rPr>
          <w:rFonts w:hint="eastAsia" w:ascii="仿宋" w:hAnsi="仿宋" w:eastAsia="仿宋"/>
          <w:color w:val="auto"/>
          <w:sz w:val="24"/>
        </w:rPr>
        <w:t>法定代表人身份证明书</w:t>
      </w:r>
    </w:p>
    <w:p>
      <w:pPr>
        <w:tabs>
          <w:tab w:val="left" w:pos="6300"/>
        </w:tabs>
        <w:snapToGrid w:val="0"/>
        <w:spacing w:line="500" w:lineRule="exact"/>
        <w:jc w:val="center"/>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磋商项目名称：</w:t>
      </w: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致：（采购代理机构名称）：</w:t>
      </w: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（法定代表人姓名）在（供应商名称）任（职务名称）职务，是（供应商名称）的法定代表人。</w:t>
      </w: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特此证明。</w:t>
      </w: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 xml:space="preserve">                                             （供应商公章）</w:t>
      </w: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 xml:space="preserve">                                             年   月   日</w:t>
      </w: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（附：法定代表人身份证正反面复印件）</w:t>
      </w: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rPr>
          <w:rFonts w:ascii="仿宋" w:hAnsi="仿宋" w:eastAsia="仿宋"/>
          <w:color w:val="auto"/>
          <w:sz w:val="24"/>
        </w:rPr>
      </w:pPr>
    </w:p>
    <w:p>
      <w:pPr>
        <w:pageBreakBefore/>
        <w:tabs>
          <w:tab w:val="left" w:pos="6300"/>
        </w:tabs>
        <w:snapToGrid w:val="0"/>
        <w:spacing w:line="500" w:lineRule="exact"/>
        <w:ind w:firstLine="480"/>
        <w:rPr>
          <w:rFonts w:ascii="仿宋" w:hAnsi="仿宋" w:eastAsia="仿宋"/>
          <w:color w:val="auto"/>
          <w:sz w:val="24"/>
        </w:rPr>
      </w:pPr>
      <w:r>
        <w:rPr>
          <w:rFonts w:hint="eastAsia" w:ascii="仿宋" w:hAnsi="仿宋" w:eastAsia="仿宋"/>
          <w:color w:val="auto"/>
          <w:sz w:val="24"/>
        </w:rPr>
        <w:t>4.法定代表人授权委托书（格式）</w:t>
      </w:r>
    </w:p>
    <w:p>
      <w:pPr>
        <w:tabs>
          <w:tab w:val="left" w:pos="6300"/>
        </w:tabs>
        <w:snapToGrid w:val="0"/>
        <w:spacing w:line="500" w:lineRule="exact"/>
        <w:jc w:val="center"/>
        <w:rPr>
          <w:rFonts w:ascii="仿宋" w:hAnsi="仿宋" w:eastAsia="仿宋"/>
          <w:color w:val="auto"/>
          <w:sz w:val="24"/>
        </w:rPr>
      </w:pPr>
      <w:r>
        <w:rPr>
          <w:rFonts w:hint="eastAsia" w:ascii="仿宋" w:hAnsi="仿宋" w:eastAsia="仿宋"/>
          <w:color w:val="auto"/>
          <w:sz w:val="24"/>
        </w:rPr>
        <w:t>法定代表人授权委托书</w:t>
      </w:r>
    </w:p>
    <w:p>
      <w:pPr>
        <w:tabs>
          <w:tab w:val="left" w:pos="6300"/>
        </w:tabs>
        <w:snapToGrid w:val="0"/>
        <w:spacing w:line="500" w:lineRule="exact"/>
        <w:jc w:val="center"/>
        <w:rPr>
          <w:rFonts w:ascii="仿宋" w:hAnsi="仿宋" w:eastAsia="仿宋"/>
          <w:color w:val="auto"/>
          <w:sz w:val="24"/>
        </w:rPr>
      </w:pPr>
    </w:p>
    <w:p>
      <w:pPr>
        <w:tabs>
          <w:tab w:val="left" w:pos="6300"/>
        </w:tabs>
        <w:snapToGrid w:val="0"/>
        <w:spacing w:line="500" w:lineRule="exact"/>
        <w:ind w:firstLine="480"/>
        <w:rPr>
          <w:rFonts w:ascii="仿宋" w:hAnsi="仿宋" w:eastAsia="仿宋"/>
          <w:color w:val="auto"/>
          <w:sz w:val="24"/>
        </w:rPr>
      </w:pPr>
      <w:r>
        <w:rPr>
          <w:rFonts w:hint="eastAsia" w:ascii="仿宋" w:hAnsi="仿宋" w:eastAsia="仿宋"/>
          <w:color w:val="auto"/>
          <w:sz w:val="24"/>
        </w:rPr>
        <w:t>磋商项目名称：</w:t>
      </w: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480"/>
        <w:rPr>
          <w:rFonts w:ascii="仿宋" w:hAnsi="仿宋" w:eastAsia="仿宋"/>
          <w:color w:val="auto"/>
          <w:sz w:val="24"/>
        </w:rPr>
      </w:pPr>
      <w:r>
        <w:rPr>
          <w:rFonts w:hint="eastAsia" w:ascii="仿宋" w:hAnsi="仿宋" w:eastAsia="仿宋"/>
          <w:color w:val="auto"/>
          <w:sz w:val="24"/>
        </w:rPr>
        <w:t>致：（采购代理机构名称）：</w:t>
      </w:r>
    </w:p>
    <w:p>
      <w:pPr>
        <w:tabs>
          <w:tab w:val="left" w:pos="6300"/>
        </w:tabs>
        <w:snapToGrid w:val="0"/>
        <w:spacing w:line="500" w:lineRule="exact"/>
        <w:ind w:firstLine="480"/>
        <w:rPr>
          <w:rFonts w:ascii="仿宋" w:hAnsi="仿宋" w:eastAsia="仿宋"/>
          <w:color w:val="auto"/>
          <w:sz w:val="24"/>
        </w:rPr>
      </w:pPr>
      <w:r>
        <w:rPr>
          <w:rFonts w:hint="eastAsia" w:ascii="仿宋" w:hAnsi="仿宋" w:eastAsia="仿宋"/>
          <w:color w:val="auto"/>
          <w:sz w:val="24"/>
        </w:rPr>
        <w:t>（供应商法人名称）是（供应商名称）的法定代表人，特授权（被授权人姓名及身份证代码）代表我单位全权办理上述项目的投标、谈判、签约等具体工作，并签署全部有关文件、协议及合同。</w:t>
      </w:r>
    </w:p>
    <w:p>
      <w:pPr>
        <w:tabs>
          <w:tab w:val="left" w:pos="6300"/>
        </w:tabs>
        <w:snapToGrid w:val="0"/>
        <w:spacing w:line="500" w:lineRule="exact"/>
        <w:ind w:firstLine="480"/>
        <w:rPr>
          <w:rFonts w:ascii="仿宋" w:hAnsi="仿宋" w:eastAsia="仿宋"/>
          <w:color w:val="auto"/>
          <w:sz w:val="24"/>
        </w:rPr>
      </w:pPr>
      <w:r>
        <w:rPr>
          <w:rFonts w:hint="eastAsia" w:ascii="仿宋" w:hAnsi="仿宋" w:eastAsia="仿宋"/>
          <w:color w:val="auto"/>
          <w:sz w:val="24"/>
        </w:rPr>
        <w:t>我单位对被授权人的签字负全部责任。</w:t>
      </w:r>
    </w:p>
    <w:p>
      <w:pPr>
        <w:tabs>
          <w:tab w:val="left" w:pos="6300"/>
        </w:tabs>
        <w:snapToGrid w:val="0"/>
        <w:spacing w:line="500" w:lineRule="exact"/>
        <w:ind w:firstLine="480"/>
        <w:rPr>
          <w:rFonts w:ascii="仿宋" w:hAnsi="仿宋" w:eastAsia="仿宋"/>
          <w:color w:val="auto"/>
          <w:sz w:val="24"/>
        </w:rPr>
      </w:pPr>
      <w:r>
        <w:rPr>
          <w:rFonts w:hint="eastAsia" w:ascii="仿宋" w:hAnsi="仿宋" w:eastAsia="仿宋"/>
          <w:color w:val="auto"/>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被授权人：                         供应商法定代表人：</w:t>
      </w: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（签字或盖章）                                （签字或盖章）</w:t>
      </w: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（附：被授权人身份证正反面复印件）</w:t>
      </w: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right="480" w:firstLine="570"/>
        <w:jc w:val="right"/>
        <w:rPr>
          <w:rFonts w:ascii="仿宋" w:hAnsi="仿宋" w:eastAsia="仿宋"/>
          <w:color w:val="auto"/>
          <w:sz w:val="24"/>
        </w:rPr>
      </w:pPr>
      <w:r>
        <w:rPr>
          <w:rFonts w:hint="eastAsia" w:ascii="仿宋" w:hAnsi="仿宋" w:eastAsia="仿宋"/>
          <w:color w:val="auto"/>
          <w:sz w:val="24"/>
        </w:rPr>
        <w:t>（供应商公章）</w:t>
      </w:r>
    </w:p>
    <w:p>
      <w:pPr>
        <w:tabs>
          <w:tab w:val="left" w:pos="6300"/>
        </w:tabs>
        <w:snapToGrid w:val="0"/>
        <w:spacing w:line="500" w:lineRule="exact"/>
        <w:ind w:right="480" w:firstLine="570"/>
        <w:jc w:val="right"/>
        <w:rPr>
          <w:rFonts w:ascii="仿宋" w:hAnsi="仿宋" w:eastAsia="仿宋"/>
          <w:color w:val="auto"/>
          <w:sz w:val="24"/>
        </w:rPr>
      </w:pPr>
      <w:r>
        <w:rPr>
          <w:rFonts w:hint="eastAsia" w:ascii="仿宋" w:hAnsi="仿宋" w:eastAsia="仿宋"/>
          <w:color w:val="auto"/>
          <w:sz w:val="24"/>
        </w:rPr>
        <w:t>年   月   日</w:t>
      </w:r>
    </w:p>
    <w:p>
      <w:pPr>
        <w:tabs>
          <w:tab w:val="left" w:pos="6300"/>
        </w:tabs>
        <w:snapToGrid w:val="0"/>
        <w:spacing w:line="500" w:lineRule="exact"/>
        <w:ind w:right="480" w:firstLine="570"/>
        <w:jc w:val="right"/>
        <w:rPr>
          <w:rFonts w:ascii="仿宋" w:hAnsi="仿宋" w:eastAsia="仿宋"/>
          <w:color w:val="auto"/>
          <w:sz w:val="24"/>
        </w:rPr>
      </w:pPr>
    </w:p>
    <w:p>
      <w:pPr>
        <w:tabs>
          <w:tab w:val="left" w:pos="6300"/>
        </w:tabs>
        <w:snapToGrid w:val="0"/>
        <w:spacing w:line="500" w:lineRule="exact"/>
        <w:ind w:right="480" w:firstLine="570"/>
        <w:jc w:val="left"/>
        <w:rPr>
          <w:rFonts w:ascii="仿宋" w:hAnsi="仿宋" w:eastAsia="仿宋"/>
          <w:color w:val="auto"/>
          <w:sz w:val="24"/>
        </w:rPr>
      </w:pPr>
      <w:r>
        <w:rPr>
          <w:rFonts w:hint="eastAsia" w:ascii="仿宋" w:hAnsi="仿宋" w:eastAsia="仿宋"/>
          <w:color w:val="auto"/>
          <w:sz w:val="24"/>
        </w:rPr>
        <w:t>注：</w:t>
      </w:r>
    </w:p>
    <w:p>
      <w:pPr>
        <w:tabs>
          <w:tab w:val="left" w:pos="6300"/>
        </w:tabs>
        <w:snapToGrid w:val="0"/>
        <w:spacing w:line="500" w:lineRule="exact"/>
        <w:ind w:right="480" w:firstLine="570"/>
        <w:jc w:val="left"/>
        <w:rPr>
          <w:rFonts w:ascii="仿宋" w:hAnsi="仿宋" w:eastAsia="仿宋"/>
          <w:color w:val="auto"/>
          <w:sz w:val="24"/>
        </w:rPr>
      </w:pPr>
      <w:r>
        <w:rPr>
          <w:rFonts w:hint="eastAsia" w:ascii="仿宋" w:hAnsi="仿宋" w:eastAsia="仿宋"/>
          <w:color w:val="auto"/>
          <w:sz w:val="24"/>
        </w:rPr>
        <w:t>1.若为法定代表人办理并签署响应文件的，不提供此文件。</w:t>
      </w:r>
    </w:p>
    <w:p>
      <w:pPr>
        <w:tabs>
          <w:tab w:val="left" w:pos="6300"/>
        </w:tabs>
        <w:snapToGrid w:val="0"/>
        <w:spacing w:line="500" w:lineRule="exact"/>
        <w:ind w:right="480" w:firstLine="570"/>
        <w:jc w:val="left"/>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r>
        <w:rPr>
          <w:color w:val="auto"/>
        </w:rPr>
        <w:br w:type="column"/>
      </w:r>
      <w:r>
        <w:rPr>
          <w:rFonts w:hint="eastAsia" w:ascii="仿宋" w:hAnsi="仿宋" w:eastAsia="仿宋"/>
          <w:color w:val="auto"/>
          <w:sz w:val="24"/>
        </w:rPr>
        <w:t>5. 上一年度财务状况报告（表）复印件，本年度新成立或成立不满一年的组织和自然人无法提供财务状况报告（表）的，可提供其基本开户银行出具的资信证明复印件。</w:t>
      </w: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6.书面声明</w:t>
      </w:r>
    </w:p>
    <w:p>
      <w:pPr>
        <w:tabs>
          <w:tab w:val="left" w:pos="6300"/>
        </w:tabs>
        <w:snapToGrid w:val="0"/>
        <w:spacing w:line="500" w:lineRule="exact"/>
        <w:jc w:val="center"/>
        <w:rPr>
          <w:rFonts w:ascii="仿宋" w:hAnsi="仿宋" w:eastAsia="仿宋"/>
          <w:color w:val="auto"/>
          <w:sz w:val="24"/>
        </w:rPr>
      </w:pPr>
      <w:r>
        <w:rPr>
          <w:rFonts w:hint="eastAsia" w:ascii="仿宋" w:hAnsi="仿宋" w:eastAsia="仿宋"/>
          <w:color w:val="auto"/>
          <w:sz w:val="24"/>
        </w:rPr>
        <w:t>书面声明</w:t>
      </w: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磋商项目名称：</w:t>
      </w: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致：</w:t>
      </w:r>
      <w:r>
        <w:rPr>
          <w:rFonts w:hint="eastAsia" w:ascii="仿宋" w:hAnsi="仿宋" w:eastAsia="仿宋"/>
          <w:color w:val="auto"/>
          <w:sz w:val="24"/>
          <w:u w:val="single"/>
        </w:rPr>
        <w:t xml:space="preserve">                   （采购代理机构名称）</w:t>
      </w: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u w:val="single"/>
        </w:rPr>
        <w:t xml:space="preserve">                      （供应商名称）</w:t>
      </w:r>
      <w:r>
        <w:rPr>
          <w:rFonts w:hint="eastAsia" w:ascii="仿宋" w:hAnsi="仿宋" w:eastAsia="仿宋"/>
          <w:color w:val="auto"/>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特此声明。</w:t>
      </w: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jc w:val="right"/>
        <w:rPr>
          <w:rFonts w:ascii="仿宋" w:hAnsi="仿宋" w:eastAsia="仿宋"/>
          <w:color w:val="auto"/>
          <w:sz w:val="24"/>
        </w:rPr>
      </w:pPr>
      <w:r>
        <w:rPr>
          <w:rFonts w:hint="eastAsia" w:ascii="仿宋" w:hAnsi="仿宋" w:eastAsia="仿宋"/>
          <w:color w:val="auto"/>
          <w:sz w:val="24"/>
        </w:rPr>
        <w:t>（供应商公章）</w:t>
      </w:r>
    </w:p>
    <w:p>
      <w:pPr>
        <w:tabs>
          <w:tab w:val="left" w:pos="6300"/>
        </w:tabs>
        <w:snapToGrid w:val="0"/>
        <w:spacing w:line="500" w:lineRule="exact"/>
        <w:ind w:firstLine="570"/>
        <w:jc w:val="right"/>
        <w:rPr>
          <w:rFonts w:ascii="仿宋" w:hAnsi="仿宋" w:eastAsia="仿宋"/>
          <w:color w:val="auto"/>
          <w:sz w:val="24"/>
        </w:rPr>
      </w:pPr>
      <w:r>
        <w:rPr>
          <w:rFonts w:hint="eastAsia" w:ascii="仿宋" w:hAnsi="仿宋" w:eastAsia="仿宋"/>
          <w:color w:val="auto"/>
          <w:sz w:val="24"/>
        </w:rPr>
        <w:t>年   月   日</w:t>
      </w: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7.税务登记证（副本）复印件</w:t>
      </w: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说明：供应商按“多证合一”登记制度办理营业执照的，组织机构代码证、税务登记证（副本）及社会保险登记证以供应商所提供的营业执照（副本）复印件为准。</w:t>
      </w: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8.缴纳社会保障金的证明材料复印件</w:t>
      </w:r>
    </w:p>
    <w:p>
      <w:pPr>
        <w:tabs>
          <w:tab w:val="left" w:pos="6300"/>
        </w:tabs>
        <w:snapToGrid w:val="0"/>
        <w:spacing w:line="500" w:lineRule="exact"/>
        <w:ind w:firstLine="570"/>
        <w:rPr>
          <w:rFonts w:ascii="仿宋" w:hAnsi="仿宋" w:eastAsia="仿宋"/>
          <w:color w:val="auto"/>
          <w:sz w:val="24"/>
        </w:rPr>
      </w:pPr>
      <w:r>
        <w:rPr>
          <w:rFonts w:hint="eastAsia" w:ascii="仿宋" w:hAnsi="仿宋" w:eastAsia="仿宋"/>
          <w:color w:val="auto"/>
          <w:sz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napToGrid w:val="0"/>
        <w:spacing w:line="440" w:lineRule="exact"/>
        <w:ind w:firstLine="480"/>
        <w:rPr>
          <w:rFonts w:ascii="仿宋" w:hAnsi="仿宋" w:eastAsia="仿宋"/>
          <w:color w:val="auto"/>
          <w:sz w:val="24"/>
        </w:rPr>
      </w:pPr>
      <w:r>
        <w:rPr>
          <w:color w:val="auto"/>
        </w:rPr>
        <w:br w:type="page"/>
      </w:r>
      <w:r>
        <w:rPr>
          <w:rFonts w:hint="eastAsia" w:ascii="仿宋" w:hAnsi="仿宋" w:eastAsia="仿宋"/>
          <w:color w:val="auto"/>
          <w:sz w:val="24"/>
        </w:rPr>
        <w:t>（三）其他应提供的资料（自附）</w:t>
      </w:r>
    </w:p>
    <w:p>
      <w:pPr>
        <w:snapToGrid w:val="0"/>
        <w:spacing w:line="440" w:lineRule="exact"/>
        <w:ind w:firstLine="480"/>
        <w:rPr>
          <w:rFonts w:ascii="仿宋" w:hAnsi="仿宋" w:eastAsia="仿宋"/>
          <w:color w:val="auto"/>
          <w:sz w:val="24"/>
        </w:rPr>
      </w:pPr>
    </w:p>
    <w:p>
      <w:pPr>
        <w:snapToGrid w:val="0"/>
        <w:spacing w:line="440" w:lineRule="exact"/>
        <w:ind w:firstLine="480"/>
        <w:rPr>
          <w:rFonts w:ascii="仿宋" w:hAnsi="仿宋" w:eastAsia="仿宋"/>
          <w:color w:val="auto"/>
          <w:sz w:val="24"/>
        </w:rPr>
      </w:pPr>
    </w:p>
    <w:p>
      <w:pPr>
        <w:snapToGrid w:val="0"/>
        <w:spacing w:line="440" w:lineRule="exact"/>
        <w:ind w:firstLine="480"/>
        <w:rPr>
          <w:rFonts w:ascii="仿宋" w:hAnsi="仿宋" w:eastAsia="仿宋"/>
          <w:color w:val="auto"/>
          <w:sz w:val="24"/>
        </w:rPr>
      </w:pPr>
    </w:p>
    <w:p>
      <w:pPr>
        <w:snapToGrid w:val="0"/>
        <w:spacing w:line="440" w:lineRule="exact"/>
        <w:ind w:firstLine="480"/>
        <w:rPr>
          <w:rFonts w:ascii="仿宋" w:hAnsi="仿宋" w:eastAsia="仿宋"/>
          <w:color w:val="auto"/>
          <w:sz w:val="24"/>
        </w:rPr>
      </w:pPr>
    </w:p>
    <w:p>
      <w:pPr>
        <w:snapToGrid w:val="0"/>
        <w:spacing w:line="440" w:lineRule="exact"/>
        <w:ind w:firstLine="480"/>
        <w:rPr>
          <w:rFonts w:ascii="仿宋" w:hAnsi="仿宋" w:eastAsia="仿宋"/>
          <w:color w:val="auto"/>
          <w:sz w:val="24"/>
        </w:rPr>
      </w:pPr>
    </w:p>
    <w:p>
      <w:pPr>
        <w:snapToGrid w:val="0"/>
        <w:spacing w:line="440" w:lineRule="exact"/>
        <w:ind w:firstLine="480"/>
        <w:rPr>
          <w:rFonts w:ascii="仿宋" w:hAnsi="仿宋" w:eastAsia="仿宋"/>
          <w:color w:val="auto"/>
          <w:sz w:val="24"/>
        </w:rPr>
      </w:pPr>
    </w:p>
    <w:p>
      <w:pPr>
        <w:snapToGrid w:val="0"/>
        <w:spacing w:line="440" w:lineRule="exact"/>
        <w:ind w:firstLine="480"/>
        <w:rPr>
          <w:rFonts w:ascii="仿宋" w:hAnsi="仿宋" w:eastAsia="仿宋"/>
          <w:color w:val="auto"/>
          <w:sz w:val="24"/>
        </w:rPr>
      </w:pPr>
    </w:p>
    <w:p>
      <w:pPr>
        <w:tabs>
          <w:tab w:val="left" w:pos="1245"/>
        </w:tabs>
        <w:snapToGrid w:val="0"/>
        <w:spacing w:line="440" w:lineRule="exact"/>
        <w:ind w:firstLine="480"/>
        <w:rPr>
          <w:rFonts w:ascii="仿宋" w:hAnsi="仿宋" w:eastAsia="仿宋"/>
          <w:color w:val="auto"/>
          <w:sz w:val="24"/>
        </w:rPr>
      </w:pPr>
    </w:p>
    <w:p>
      <w:pPr>
        <w:tabs>
          <w:tab w:val="left" w:pos="1245"/>
        </w:tabs>
        <w:snapToGrid w:val="0"/>
        <w:spacing w:line="440" w:lineRule="exact"/>
        <w:ind w:firstLine="480"/>
        <w:rPr>
          <w:rFonts w:ascii="仿宋" w:hAnsi="仿宋" w:eastAsia="仿宋"/>
          <w:color w:val="auto"/>
          <w:sz w:val="24"/>
        </w:rPr>
      </w:pPr>
    </w:p>
    <w:p>
      <w:pPr>
        <w:snapToGrid w:val="0"/>
        <w:spacing w:line="440" w:lineRule="exact"/>
        <w:jc w:val="center"/>
        <w:outlineLvl w:val="0"/>
        <w:rPr>
          <w:rFonts w:ascii="仿宋" w:hAnsi="仿宋" w:eastAsia="仿宋"/>
          <w:color w:val="auto"/>
          <w:sz w:val="24"/>
        </w:rPr>
      </w:pPr>
      <w:bookmarkStart w:id="29" w:name="_Toc23989"/>
      <w:bookmarkStart w:id="30" w:name="_Toc29314"/>
      <w:r>
        <w:rPr>
          <w:rFonts w:hint="eastAsia" w:ascii="仿宋" w:hAnsi="仿宋" w:eastAsia="仿宋"/>
          <w:color w:val="auto"/>
          <w:sz w:val="24"/>
        </w:rPr>
        <w:t>（结束）</w:t>
      </w:r>
      <w:bookmarkEnd w:id="29"/>
      <w:bookmarkEnd w:id="30"/>
    </w:p>
    <w:p>
      <w:pPr>
        <w:autoSpaceDE w:val="0"/>
        <w:autoSpaceDN w:val="0"/>
        <w:rPr>
          <w:rFonts w:ascii="方正仿宋_GBK" w:eastAsia="方正仿宋_GBK"/>
          <w:color w:val="auto"/>
          <w:sz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color w:val="auto"/>
          <w:sz w:val="32"/>
          <w:szCs w:val="40"/>
          <w:lang w:val="en-US" w:eastAsia="zh-CN"/>
        </w:rPr>
      </w:pPr>
      <w:r>
        <w:rPr>
          <w:rFonts w:hint="eastAsia"/>
          <w:color w:val="auto"/>
          <w:sz w:val="32"/>
          <w:szCs w:val="40"/>
          <w:lang w:val="en-US" w:eastAsia="zh-CN"/>
        </w:rPr>
        <w:t>附件1</w:t>
      </w:r>
    </w:p>
    <w:p>
      <w:pPr>
        <w:rPr>
          <w:rFonts w:hint="eastAsia"/>
          <w:color w:val="auto"/>
          <w:sz w:val="32"/>
          <w:szCs w:val="40"/>
          <w:lang w:val="en-US" w:eastAsia="zh-CN"/>
        </w:rPr>
      </w:pPr>
    </w:p>
    <w:p>
      <w:pPr>
        <w:jc w:val="center"/>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第二届川渝住房城乡建设博览会重庆主题展馆及</w:t>
      </w:r>
    </w:p>
    <w:p>
      <w:pPr>
        <w:jc w:val="center"/>
        <w:rPr>
          <w:rFonts w:hint="default"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序馆区域平面图</w:t>
      </w:r>
    </w:p>
    <w:p>
      <w:pPr>
        <w:rPr>
          <w:rFonts w:hint="default"/>
          <w:color w:val="auto"/>
          <w:sz w:val="32"/>
          <w:szCs w:val="40"/>
          <w:lang w:val="en-US" w:eastAsia="zh-CN"/>
        </w:rPr>
      </w:pPr>
      <w:r>
        <w:rPr>
          <w:rFonts w:hint="eastAsia" w:ascii="方正小标宋_GBK" w:hAnsi="方正小标宋_GBK" w:eastAsia="方正小标宋_GBK" w:cs="方正小标宋_GBK"/>
          <w:b/>
          <w:bCs/>
          <w:color w:val="auto"/>
          <w:sz w:val="44"/>
          <w:szCs w:val="44"/>
        </w:rPr>
        <mc:AlternateContent>
          <mc:Choice Requires="wps">
            <w:drawing>
              <wp:anchor distT="0" distB="0" distL="114300" distR="114300" simplePos="0" relativeHeight="251659264" behindDoc="0" locked="0" layoutInCell="1" allowOverlap="1">
                <wp:simplePos x="0" y="0"/>
                <wp:positionH relativeFrom="column">
                  <wp:posOffset>-179705</wp:posOffset>
                </wp:positionH>
                <wp:positionV relativeFrom="paragraph">
                  <wp:posOffset>25400</wp:posOffset>
                </wp:positionV>
                <wp:extent cx="6395085" cy="5238750"/>
                <wp:effectExtent l="4445" t="4445" r="13970" b="14605"/>
                <wp:wrapNone/>
                <wp:docPr id="16" name="文本框 2"/>
                <wp:cNvGraphicFramePr/>
                <a:graphic xmlns:a="http://schemas.openxmlformats.org/drawingml/2006/main">
                  <a:graphicData uri="http://schemas.microsoft.com/office/word/2010/wordprocessingShape">
                    <wps:wsp>
                      <wps:cNvSpPr txBox="1"/>
                      <wps:spPr>
                        <a:xfrm>
                          <a:off x="665480" y="1726565"/>
                          <a:ext cx="6395085" cy="5238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等线"/>
                                <w:lang w:eastAsia="zh-CN"/>
                              </w:rPr>
                            </w:pPr>
                            <w:r>
                              <w:rPr>
                                <w:rFonts w:hint="eastAsia" w:eastAsia="等线"/>
                                <w:lang w:eastAsia="zh-CN"/>
                              </w:rPr>
                              <w:drawing>
                                <wp:inline distT="0" distB="0" distL="114300" distR="114300">
                                  <wp:extent cx="6861810" cy="4863465"/>
                                  <wp:effectExtent l="0" t="0" r="15240" b="13335"/>
                                  <wp:docPr id="15" name="图片 15" descr="C:/Users/ASUS/AppData/Local/Temp/picturecompress_20211210143907/output_1.pn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SUS/AppData/Local/Temp/picturecompress_20211210143907/output_1.pngoutput_1"/>
                                          <pic:cNvPicPr>
                                            <a:picLocks noChangeAspect="1"/>
                                          </pic:cNvPicPr>
                                        </pic:nvPicPr>
                                        <pic:blipFill>
                                          <a:blip r:embed="rId11"/>
                                          <a:stretch>
                                            <a:fillRect/>
                                          </a:stretch>
                                        </pic:blipFill>
                                        <pic:spPr>
                                          <a:xfrm>
                                            <a:off x="0" y="0"/>
                                            <a:ext cx="6861810" cy="4863465"/>
                                          </a:xfrm>
                                          <a:prstGeom prst="rect">
                                            <a:avLst/>
                                          </a:prstGeom>
                                        </pic:spPr>
                                      </pic:pic>
                                    </a:graphicData>
                                  </a:graphic>
                                </wp:inline>
                              </w:drawing>
                            </w:r>
                          </w:p>
                        </w:txbxContent>
                      </wps:txbx>
                      <wps:bodyPr vert="horz" anchor="t" anchorCtr="0" upright="1"/>
                    </wps:wsp>
                  </a:graphicData>
                </a:graphic>
              </wp:anchor>
            </w:drawing>
          </mc:Choice>
          <mc:Fallback>
            <w:pict>
              <v:shape id="文本框 2" o:spid="_x0000_s1026" o:spt="202" type="#_x0000_t202" style="position:absolute;left:0pt;margin-left:-14.15pt;margin-top:2pt;height:412.5pt;width:503.55pt;z-index:251659264;mso-width-relative:page;mso-height-relative:page;" fillcolor="#FFFFFF" filled="t" stroked="t" coordsize="21600,21600" o:gfxdata="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cLQ82AAAAAkBAAAPAAAAAAAAAAEAIAAAACIAAABkcnMvZG93bnJldi54bWxQSwEC&#10;FAAUAAAACACHTuJAT8g3AS0CAABoBAAADgAAAAAAAAABACAAAAAnAQAAZHJzL2Uyb0RvYy54bWxQ&#10;SwUGAAAAAAYABgBZAQAAxgUAAAAA&#10;">
                <v:fill on="t" focussize="0,0"/>
                <v:stroke color="#000000" joinstyle="miter"/>
                <v:imagedata o:title=""/>
                <o:lock v:ext="edit" aspectratio="f"/>
                <v:textbox>
                  <w:txbxContent>
                    <w:p>
                      <w:pPr>
                        <w:rPr>
                          <w:rFonts w:hint="eastAsia" w:eastAsia="等线"/>
                          <w:lang w:eastAsia="zh-CN"/>
                        </w:rPr>
                      </w:pPr>
                      <w:r>
                        <w:rPr>
                          <w:rFonts w:hint="eastAsia" w:eastAsia="等线"/>
                          <w:lang w:eastAsia="zh-CN"/>
                        </w:rPr>
                        <w:drawing>
                          <wp:inline distT="0" distB="0" distL="114300" distR="114300">
                            <wp:extent cx="6861810" cy="4863465"/>
                            <wp:effectExtent l="0" t="0" r="15240" b="13335"/>
                            <wp:docPr id="15" name="图片 15" descr="C:/Users/ASUS/AppData/Local/Temp/picturecompress_20211210143907/output_1.pn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SUS/AppData/Local/Temp/picturecompress_20211210143907/output_1.pngoutput_1"/>
                                    <pic:cNvPicPr>
                                      <a:picLocks noChangeAspect="1"/>
                                    </pic:cNvPicPr>
                                  </pic:nvPicPr>
                                  <pic:blipFill>
                                    <a:blip r:embed="rId11"/>
                                    <a:stretch>
                                      <a:fillRect/>
                                    </a:stretch>
                                  </pic:blipFill>
                                  <pic:spPr>
                                    <a:xfrm>
                                      <a:off x="0" y="0"/>
                                      <a:ext cx="6861810" cy="4863465"/>
                                    </a:xfrm>
                                    <a:prstGeom prst="rect">
                                      <a:avLst/>
                                    </a:prstGeom>
                                  </pic:spPr>
                                </pic:pic>
                              </a:graphicData>
                            </a:graphic>
                          </wp:inline>
                        </w:drawing>
                      </w:r>
                    </w:p>
                  </w:txbxContent>
                </v:textbox>
              </v:shape>
            </w:pict>
          </mc:Fallback>
        </mc:AlternateContent>
      </w:r>
    </w:p>
    <w:p>
      <w:pPr>
        <w:rPr>
          <w:rFonts w:hint="eastAsia"/>
          <w:color w:val="auto"/>
          <w:sz w:val="32"/>
          <w:szCs w:val="40"/>
          <w:lang w:val="en-US" w:eastAsia="zh-CN"/>
        </w:rPr>
      </w:pPr>
    </w:p>
    <w:p>
      <w:pPr>
        <w:rPr>
          <w:rFonts w:hint="eastAsia"/>
          <w:color w:val="auto"/>
          <w:sz w:val="32"/>
          <w:szCs w:val="40"/>
          <w:lang w:val="en-US" w:eastAsia="zh-CN"/>
        </w:rPr>
      </w:pPr>
    </w:p>
    <w:p>
      <w:pPr>
        <w:rPr>
          <w:rFonts w:hint="eastAsia"/>
          <w:color w:val="auto"/>
          <w:sz w:val="32"/>
          <w:szCs w:val="40"/>
          <w:lang w:val="en-US" w:eastAsia="zh-CN"/>
        </w:rPr>
      </w:pPr>
    </w:p>
    <w:p>
      <w:pPr>
        <w:rPr>
          <w:rFonts w:hint="eastAsia"/>
          <w:color w:val="auto"/>
          <w:sz w:val="32"/>
          <w:szCs w:val="40"/>
          <w:lang w:val="en-US" w:eastAsia="zh-CN"/>
        </w:rPr>
      </w:pPr>
    </w:p>
    <w:p>
      <w:pPr>
        <w:rPr>
          <w:rFonts w:hint="eastAsia"/>
          <w:color w:val="auto"/>
          <w:sz w:val="32"/>
          <w:szCs w:val="40"/>
          <w:lang w:val="en-US" w:eastAsia="zh-CN"/>
        </w:rPr>
      </w:pPr>
    </w:p>
    <w:p>
      <w:pPr>
        <w:rPr>
          <w:rFonts w:hint="eastAsia"/>
          <w:color w:val="auto"/>
          <w:sz w:val="32"/>
          <w:szCs w:val="40"/>
          <w:lang w:val="en-US" w:eastAsia="zh-CN"/>
        </w:rPr>
      </w:pPr>
    </w:p>
    <w:p>
      <w:pPr>
        <w:rPr>
          <w:rFonts w:hint="eastAsia"/>
          <w:color w:val="auto"/>
          <w:sz w:val="32"/>
          <w:szCs w:val="40"/>
          <w:lang w:val="en-US" w:eastAsia="zh-CN"/>
        </w:rPr>
      </w:pPr>
    </w:p>
    <w:p>
      <w:pPr>
        <w:rPr>
          <w:rFonts w:hint="eastAsia"/>
          <w:color w:val="auto"/>
          <w:sz w:val="32"/>
          <w:szCs w:val="40"/>
          <w:lang w:val="en-US" w:eastAsia="zh-CN"/>
        </w:rPr>
      </w:pPr>
    </w:p>
    <w:p>
      <w:pPr>
        <w:rPr>
          <w:rFonts w:hint="eastAsia"/>
          <w:color w:val="auto"/>
          <w:sz w:val="32"/>
          <w:szCs w:val="40"/>
          <w:lang w:val="en-US" w:eastAsia="zh-CN"/>
        </w:rPr>
      </w:pPr>
    </w:p>
    <w:p>
      <w:pPr>
        <w:rPr>
          <w:rFonts w:hint="eastAsia"/>
          <w:color w:val="auto"/>
          <w:sz w:val="32"/>
          <w:szCs w:val="40"/>
          <w:lang w:val="en-US" w:eastAsia="zh-CN"/>
        </w:rPr>
      </w:pPr>
    </w:p>
    <w:p>
      <w:pPr>
        <w:rPr>
          <w:rFonts w:hint="eastAsia"/>
          <w:color w:val="auto"/>
          <w:sz w:val="32"/>
          <w:szCs w:val="40"/>
          <w:lang w:val="en-US" w:eastAsia="zh-CN"/>
        </w:rPr>
      </w:pPr>
    </w:p>
    <w:p>
      <w:pPr>
        <w:rPr>
          <w:rFonts w:hint="eastAsia"/>
          <w:color w:val="auto"/>
          <w:sz w:val="32"/>
          <w:szCs w:val="40"/>
          <w:lang w:val="en-US" w:eastAsia="zh-CN"/>
        </w:rPr>
      </w:pPr>
    </w:p>
    <w:p>
      <w:pPr>
        <w:rPr>
          <w:rFonts w:hint="eastAsia"/>
          <w:color w:val="auto"/>
          <w:sz w:val="32"/>
          <w:szCs w:val="40"/>
          <w:lang w:val="en-US" w:eastAsia="zh-CN"/>
        </w:rPr>
      </w:pPr>
    </w:p>
    <w:p>
      <w:pPr>
        <w:rPr>
          <w:rFonts w:hint="eastAsia"/>
          <w:color w:val="auto"/>
          <w:sz w:val="32"/>
          <w:szCs w:val="40"/>
          <w:lang w:val="en-US" w:eastAsia="zh-CN"/>
        </w:rPr>
      </w:pPr>
    </w:p>
    <w:p>
      <w:pPr>
        <w:rPr>
          <w:rFonts w:hint="eastAsia"/>
          <w:color w:val="auto"/>
          <w:sz w:val="32"/>
          <w:szCs w:val="40"/>
          <w:lang w:val="en-US" w:eastAsia="zh-CN"/>
        </w:rPr>
      </w:pPr>
    </w:p>
    <w:p>
      <w:pPr>
        <w:rPr>
          <w:rFonts w:hint="eastAsia"/>
          <w:color w:val="auto"/>
          <w:sz w:val="32"/>
          <w:szCs w:val="40"/>
          <w:lang w:val="en-US" w:eastAsia="zh-CN"/>
        </w:rPr>
      </w:pPr>
    </w:p>
    <w:p>
      <w:pPr>
        <w:rPr>
          <w:rFonts w:hint="eastAsia"/>
          <w:color w:val="auto"/>
          <w:sz w:val="32"/>
          <w:szCs w:val="40"/>
          <w:lang w:val="en-US" w:eastAsia="zh-CN"/>
        </w:rPr>
      </w:pPr>
    </w:p>
    <w:p>
      <w:pPr>
        <w:rPr>
          <w:rFonts w:hint="eastAsia"/>
          <w:color w:val="auto"/>
          <w:sz w:val="32"/>
          <w:szCs w:val="40"/>
          <w:lang w:val="en-US" w:eastAsia="zh-CN"/>
        </w:rPr>
      </w:pPr>
    </w:p>
    <w:p>
      <w:pPr>
        <w:rPr>
          <w:rFonts w:hint="eastAsia"/>
          <w:color w:val="auto"/>
          <w:sz w:val="32"/>
          <w:szCs w:val="40"/>
          <w:lang w:val="en-US" w:eastAsia="zh-CN"/>
        </w:rPr>
      </w:pPr>
    </w:p>
    <w:p>
      <w:pPr>
        <w:rPr>
          <w:rFonts w:hint="eastAsia"/>
          <w:color w:val="auto"/>
          <w:sz w:val="32"/>
          <w:szCs w:val="40"/>
          <w:lang w:val="en-US" w:eastAsia="zh-CN"/>
        </w:rPr>
      </w:pPr>
    </w:p>
    <w:p>
      <w:pPr>
        <w:rPr>
          <w:rFonts w:hint="eastAsia"/>
          <w:color w:val="auto"/>
          <w:sz w:val="32"/>
          <w:szCs w:val="40"/>
          <w:lang w:val="en-US" w:eastAsia="zh-CN"/>
        </w:rPr>
      </w:pPr>
    </w:p>
    <w:p>
      <w:pPr>
        <w:rPr>
          <w:rFonts w:hint="eastAsia"/>
          <w:color w:val="auto"/>
          <w:sz w:val="32"/>
          <w:szCs w:val="40"/>
          <w:lang w:val="en-US" w:eastAsia="zh-CN"/>
        </w:rPr>
      </w:pPr>
    </w:p>
    <w:p>
      <w:pPr>
        <w:rPr>
          <w:rFonts w:hint="eastAsia"/>
          <w:color w:val="auto"/>
          <w:sz w:val="32"/>
          <w:szCs w:val="40"/>
          <w:lang w:val="en-US" w:eastAsia="zh-CN"/>
        </w:rPr>
      </w:pPr>
    </w:p>
    <w:p>
      <w:pPr>
        <w:rPr>
          <w:rFonts w:hint="eastAsia"/>
          <w:color w:val="auto"/>
          <w:sz w:val="32"/>
          <w:szCs w:val="40"/>
          <w:lang w:val="en-US" w:eastAsia="zh-CN"/>
        </w:rPr>
      </w:pPr>
    </w:p>
    <w:p>
      <w:pPr>
        <w:rPr>
          <w:rFonts w:hint="eastAsia"/>
          <w:color w:val="auto"/>
          <w:sz w:val="32"/>
          <w:szCs w:val="40"/>
          <w:lang w:val="en-US" w:eastAsia="zh-CN"/>
        </w:rPr>
      </w:pPr>
    </w:p>
    <w:p>
      <w:pPr>
        <w:rPr>
          <w:rFonts w:hint="eastAsia"/>
          <w:color w:val="auto"/>
          <w:sz w:val="32"/>
          <w:szCs w:val="40"/>
          <w:lang w:val="en-US" w:eastAsia="zh-CN"/>
        </w:rPr>
      </w:pPr>
    </w:p>
    <w:p>
      <w:pPr>
        <w:rPr>
          <w:rFonts w:hint="eastAsia"/>
          <w:color w:val="auto"/>
          <w:sz w:val="32"/>
          <w:szCs w:val="40"/>
          <w:lang w:val="en-US" w:eastAsia="zh-CN"/>
        </w:rPr>
      </w:pPr>
    </w:p>
    <w:p>
      <w:pPr>
        <w:rPr>
          <w:rFonts w:hint="default"/>
          <w:color w:val="auto"/>
          <w:lang w:val="en-US" w:eastAsia="zh-CN"/>
        </w:rPr>
      </w:pPr>
    </w:p>
    <w:p>
      <w:pPr>
        <w:rPr>
          <w:rFonts w:hint="eastAsia" w:eastAsia="等线"/>
          <w:color w:val="auto"/>
          <w:sz w:val="32"/>
          <w:szCs w:val="40"/>
          <w:lang w:val="en-US" w:eastAsia="zh-CN"/>
        </w:rPr>
      </w:pPr>
      <w:r>
        <w:rPr>
          <w:color w:val="auto"/>
          <w:sz w:val="32"/>
          <w:szCs w:val="40"/>
        </w:rPr>
        <w:t>附件</w:t>
      </w:r>
      <w:r>
        <w:rPr>
          <w:rFonts w:hint="eastAsia"/>
          <w:color w:val="auto"/>
          <w:sz w:val="32"/>
          <w:szCs w:val="40"/>
          <w:lang w:val="en-US" w:eastAsia="zh-CN"/>
        </w:rPr>
        <w:t>2</w:t>
      </w:r>
    </w:p>
    <w:p>
      <w:pPr>
        <w:jc w:val="center"/>
        <w:rPr>
          <w:rFonts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展台设计方案深度技术需求</w:t>
      </w:r>
    </w:p>
    <w:p>
      <w:pPr>
        <w:jc w:val="center"/>
        <w:rPr>
          <w:rFonts w:ascii="方正小标宋_GBK" w:hAnsi="方正小标宋_GBK" w:eastAsia="方正小标宋_GBK" w:cs="方正小标宋_GBK"/>
          <w:b w:val="0"/>
          <w:bCs w:val="0"/>
          <w:color w:val="auto"/>
          <w:sz w:val="36"/>
          <w:szCs w:val="36"/>
        </w:rPr>
      </w:pPr>
      <w:r>
        <w:rPr>
          <w:rFonts w:hint="eastAsia" w:ascii="方正小标宋_GBK" w:hAnsi="方正小标宋_GBK" w:eastAsia="方正小标宋_GBK" w:cs="方正小标宋_GBK"/>
          <w:b w:val="0"/>
          <w:bCs w:val="0"/>
          <w:color w:val="auto"/>
          <w:sz w:val="36"/>
          <w:szCs w:val="36"/>
        </w:rPr>
        <w:t>（参考）</w:t>
      </w:r>
    </w:p>
    <w:p>
      <w:pPr>
        <w:jc w:val="center"/>
        <w:rPr>
          <w:b/>
          <w:bCs/>
          <w:color w:val="auto"/>
          <w:sz w:val="44"/>
          <w:szCs w:val="44"/>
        </w:rPr>
      </w:pPr>
    </w:p>
    <w:p>
      <w:pPr>
        <w:jc w:val="center"/>
        <w:rPr>
          <w:rFonts w:ascii="方正仿宋_GBK" w:hAnsi="方正仿宋_GBK" w:eastAsia="方正仿宋_GBK" w:cs="方正仿宋_GBK"/>
          <w:b/>
          <w:bCs/>
          <w:color w:val="auto"/>
          <w:sz w:val="32"/>
          <w:szCs w:val="32"/>
        </w:rPr>
      </w:pPr>
    </w:p>
    <w:p>
      <w:pP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一、设计方案必须包含</w:t>
      </w:r>
      <w:r>
        <w:rPr>
          <w:rFonts w:hint="eastAsia" w:ascii="方正仿宋_GBK" w:hAnsi="方正仿宋_GBK" w:eastAsia="方正仿宋_GBK" w:cs="方正仿宋_GBK"/>
          <w:color w:val="auto"/>
          <w:sz w:val="32"/>
          <w:szCs w:val="32"/>
          <w:lang w:val="en-US" w:eastAsia="zh-CN"/>
        </w:rPr>
        <w:t>本</w:t>
      </w:r>
      <w:r>
        <w:rPr>
          <w:rFonts w:hint="eastAsia" w:ascii="方正仿宋_GBK" w:hAnsi="方正仿宋_GBK" w:eastAsia="方正仿宋_GBK" w:cs="方正仿宋_GBK"/>
          <w:color w:val="auto"/>
          <w:sz w:val="32"/>
          <w:szCs w:val="32"/>
        </w:rPr>
        <w:t>参考方案设计</w:t>
      </w:r>
      <w:r>
        <w:rPr>
          <w:rFonts w:hint="eastAsia" w:ascii="方正仿宋_GBK" w:hAnsi="方正仿宋_GBK" w:eastAsia="方正仿宋_GBK" w:cs="方正仿宋_GBK"/>
          <w:color w:val="auto"/>
          <w:sz w:val="32"/>
          <w:szCs w:val="32"/>
          <w:lang w:val="en-US" w:eastAsia="zh-CN"/>
        </w:rPr>
        <w:t>图类别</w:t>
      </w:r>
      <w:r>
        <w:rPr>
          <w:rFonts w:hint="eastAsia" w:ascii="方正仿宋_GBK" w:hAnsi="方正仿宋_GBK" w:eastAsia="方正仿宋_GBK" w:cs="方正仿宋_GBK"/>
          <w:color w:val="auto"/>
          <w:sz w:val="32"/>
          <w:szCs w:val="32"/>
        </w:rPr>
        <w:t>；</w:t>
      </w:r>
    </w:p>
    <w:p>
      <w:pP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二、供应商不得抄袭本参考方案设计风格作为应标设计方案；</w:t>
      </w:r>
    </w:p>
    <w:p>
      <w:pPr>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三、供应商对重庆主题展馆及序馆分别提供不低于2套不同风格的设计方案，并制作成PPT供现场演示。</w:t>
      </w:r>
    </w:p>
    <w:p>
      <w:pPr>
        <w:rPr>
          <w:b/>
          <w:bCs/>
          <w:color w:val="auto"/>
          <w:sz w:val="36"/>
          <w:szCs w:val="44"/>
        </w:rPr>
      </w:pPr>
    </w:p>
    <w:p>
      <w:pPr>
        <w:rPr>
          <w:b/>
          <w:bCs/>
          <w:color w:val="auto"/>
          <w:sz w:val="36"/>
          <w:szCs w:val="44"/>
        </w:rPr>
      </w:pPr>
    </w:p>
    <w:p>
      <w:pPr>
        <w:rPr>
          <w:b/>
          <w:bCs/>
          <w:color w:val="auto"/>
          <w:sz w:val="36"/>
          <w:szCs w:val="44"/>
        </w:rPr>
      </w:pPr>
    </w:p>
    <w:p>
      <w:pPr>
        <w:rPr>
          <w:rFonts w:hint="default" w:eastAsiaTheme="minorEastAsia"/>
          <w:b/>
          <w:bCs/>
          <w:color w:val="auto"/>
          <w:sz w:val="36"/>
          <w:szCs w:val="44"/>
          <w:lang w:val="en-US" w:eastAsia="zh-CN"/>
        </w:rPr>
      </w:pPr>
      <w:r>
        <w:rPr>
          <w:rFonts w:hint="eastAsia"/>
          <w:b/>
          <w:bCs/>
          <w:color w:val="auto"/>
          <w:sz w:val="36"/>
          <w:szCs w:val="44"/>
          <w:lang w:val="en-US" w:eastAsia="zh-CN"/>
        </w:rPr>
        <w:t>1、正视图</w:t>
      </w:r>
    </w:p>
    <w:p>
      <w:pPr>
        <w:jc w:val="center"/>
        <w:rPr>
          <w:color w:val="auto"/>
        </w:rPr>
      </w:pPr>
      <w:r>
        <w:rPr>
          <w:color w:val="auto"/>
        </w:rPr>
        <w:drawing>
          <wp:inline distT="0" distB="0" distL="114300" distR="114300">
            <wp:extent cx="6429375" cy="3625215"/>
            <wp:effectExtent l="0" t="0" r="9525" b="133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rcRect t="3030"/>
                    <a:stretch>
                      <a:fillRect/>
                    </a:stretch>
                  </pic:blipFill>
                  <pic:spPr>
                    <a:xfrm>
                      <a:off x="0" y="0"/>
                      <a:ext cx="6429375" cy="3625215"/>
                    </a:xfrm>
                    <a:prstGeom prst="rect">
                      <a:avLst/>
                    </a:prstGeom>
                  </pic:spPr>
                </pic:pic>
              </a:graphicData>
            </a:graphic>
          </wp:inline>
        </w:drawing>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default"/>
          <w:b/>
          <w:bCs/>
          <w:color w:val="auto"/>
          <w:sz w:val="36"/>
          <w:szCs w:val="44"/>
          <w:lang w:val="en-US" w:eastAsia="zh-CN"/>
        </w:rPr>
      </w:pPr>
      <w:r>
        <w:rPr>
          <w:rFonts w:hint="eastAsia"/>
          <w:b/>
          <w:bCs/>
          <w:color w:val="auto"/>
          <w:sz w:val="36"/>
          <w:szCs w:val="44"/>
          <w:lang w:val="en-US" w:eastAsia="zh-CN"/>
        </w:rPr>
        <w:t>2、右视图</w:t>
      </w:r>
    </w:p>
    <w:p>
      <w:pPr>
        <w:jc w:val="center"/>
        <w:rPr>
          <w:color w:val="auto"/>
        </w:rPr>
      </w:pPr>
      <w:r>
        <w:rPr>
          <w:color w:val="auto"/>
        </w:rPr>
        <w:drawing>
          <wp:inline distT="0" distB="0" distL="114300" distR="114300">
            <wp:extent cx="6505575" cy="3660140"/>
            <wp:effectExtent l="0" t="0" r="9525"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505575" cy="3660140"/>
                    </a:xfrm>
                    <a:prstGeom prst="rect">
                      <a:avLst/>
                    </a:prstGeom>
                  </pic:spPr>
                </pic:pic>
              </a:graphicData>
            </a:graphic>
          </wp:inline>
        </w:drawing>
      </w:r>
    </w:p>
    <w:p>
      <w:pPr>
        <w:numPr>
          <w:ilvl w:val="0"/>
          <w:numId w:val="0"/>
        </w:numPr>
        <w:jc w:val="both"/>
        <w:rPr>
          <w:rFonts w:hint="eastAsia"/>
          <w:color w:val="auto"/>
          <w:lang w:val="en-US" w:eastAsia="zh-CN"/>
        </w:rPr>
      </w:pPr>
    </w:p>
    <w:p>
      <w:pPr>
        <w:numPr>
          <w:ilvl w:val="0"/>
          <w:numId w:val="0"/>
        </w:numPr>
        <w:jc w:val="both"/>
        <w:rPr>
          <w:rFonts w:hint="eastAsia"/>
          <w:color w:val="auto"/>
          <w:lang w:val="en-US" w:eastAsia="zh-CN"/>
        </w:rPr>
      </w:pPr>
    </w:p>
    <w:p>
      <w:pPr>
        <w:numPr>
          <w:ilvl w:val="0"/>
          <w:numId w:val="0"/>
        </w:numPr>
        <w:jc w:val="both"/>
        <w:rPr>
          <w:rFonts w:hint="eastAsia"/>
          <w:color w:val="auto"/>
          <w:lang w:val="en-US" w:eastAsia="zh-CN"/>
        </w:rPr>
      </w:pPr>
    </w:p>
    <w:p>
      <w:pPr>
        <w:numPr>
          <w:ilvl w:val="0"/>
          <w:numId w:val="0"/>
        </w:numPr>
        <w:jc w:val="both"/>
        <w:rPr>
          <w:rFonts w:hint="eastAsia"/>
          <w:color w:val="auto"/>
          <w:lang w:val="en-US" w:eastAsia="zh-CN"/>
        </w:rPr>
      </w:pPr>
    </w:p>
    <w:p>
      <w:pPr>
        <w:numPr>
          <w:ilvl w:val="0"/>
          <w:numId w:val="0"/>
        </w:numPr>
        <w:jc w:val="both"/>
        <w:rPr>
          <w:rFonts w:hint="eastAsia"/>
          <w:color w:val="auto"/>
          <w:lang w:val="en-US" w:eastAsia="zh-CN"/>
        </w:rPr>
      </w:pPr>
    </w:p>
    <w:p>
      <w:pPr>
        <w:rPr>
          <w:rFonts w:hint="eastAsia"/>
          <w:b/>
          <w:bCs/>
          <w:color w:val="auto"/>
          <w:sz w:val="36"/>
          <w:szCs w:val="44"/>
          <w:lang w:val="en-US" w:eastAsia="zh-CN"/>
        </w:rPr>
      </w:pPr>
      <w:r>
        <w:rPr>
          <w:rFonts w:hint="eastAsia"/>
          <w:b/>
          <w:bCs/>
          <w:color w:val="auto"/>
          <w:sz w:val="36"/>
          <w:szCs w:val="44"/>
          <w:lang w:val="en-US" w:eastAsia="zh-CN"/>
        </w:rPr>
        <w:t>3、背视图</w:t>
      </w:r>
    </w:p>
    <w:p>
      <w:pPr>
        <w:numPr>
          <w:ilvl w:val="0"/>
          <w:numId w:val="0"/>
        </w:numPr>
        <w:jc w:val="both"/>
        <w:rPr>
          <w:color w:val="auto"/>
        </w:rPr>
      </w:pPr>
      <w:bookmarkStart w:id="31" w:name="_GoBack"/>
      <w:r>
        <w:rPr>
          <w:color w:val="auto"/>
        </w:rPr>
        <w:drawing>
          <wp:inline distT="0" distB="0" distL="114300" distR="114300">
            <wp:extent cx="6514465" cy="3572510"/>
            <wp:effectExtent l="0" t="0" r="635"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4"/>
                    <a:stretch>
                      <a:fillRect/>
                    </a:stretch>
                  </pic:blipFill>
                  <pic:spPr>
                    <a:xfrm>
                      <a:off x="0" y="0"/>
                      <a:ext cx="6514465" cy="3572510"/>
                    </a:xfrm>
                    <a:prstGeom prst="rect">
                      <a:avLst/>
                    </a:prstGeom>
                  </pic:spPr>
                </pic:pic>
              </a:graphicData>
            </a:graphic>
          </wp:inline>
        </w:drawing>
      </w:r>
      <w:bookmarkEnd w:id="31"/>
    </w:p>
    <w:p>
      <w:pPr>
        <w:numPr>
          <w:ilvl w:val="0"/>
          <w:numId w:val="0"/>
        </w:numPr>
        <w:jc w:val="both"/>
        <w:rPr>
          <w:color w:val="auto"/>
        </w:rPr>
      </w:pPr>
    </w:p>
    <w:p>
      <w:pPr>
        <w:numPr>
          <w:ilvl w:val="0"/>
          <w:numId w:val="0"/>
        </w:numPr>
        <w:jc w:val="both"/>
        <w:rPr>
          <w:color w:val="auto"/>
        </w:rPr>
      </w:pPr>
    </w:p>
    <w:p>
      <w:pPr>
        <w:rPr>
          <w:rFonts w:hint="eastAsia"/>
          <w:b/>
          <w:bCs/>
          <w:color w:val="auto"/>
          <w:sz w:val="36"/>
          <w:szCs w:val="44"/>
          <w:lang w:val="en-US" w:eastAsia="zh-CN"/>
        </w:rPr>
      </w:pPr>
      <w:r>
        <w:rPr>
          <w:rFonts w:hint="eastAsia"/>
          <w:b/>
          <w:bCs/>
          <w:color w:val="auto"/>
          <w:sz w:val="36"/>
          <w:szCs w:val="44"/>
          <w:lang w:val="en-US" w:eastAsia="zh-CN"/>
        </w:rPr>
        <w:t>4、左视图</w:t>
      </w:r>
    </w:p>
    <w:p>
      <w:pPr>
        <w:numPr>
          <w:ilvl w:val="0"/>
          <w:numId w:val="0"/>
        </w:numPr>
        <w:ind w:leftChars="0"/>
        <w:jc w:val="both"/>
        <w:rPr>
          <w:color w:val="auto"/>
        </w:rPr>
      </w:pPr>
      <w:r>
        <w:rPr>
          <w:color w:val="auto"/>
        </w:rPr>
        <w:drawing>
          <wp:inline distT="0" distB="0" distL="114300" distR="114300">
            <wp:extent cx="6649085" cy="3623310"/>
            <wp:effectExtent l="0" t="0" r="1841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6649085" cy="3623310"/>
                    </a:xfrm>
                    <a:prstGeom prst="rect">
                      <a:avLst/>
                    </a:prstGeom>
                  </pic:spPr>
                </pic:pic>
              </a:graphicData>
            </a:graphic>
          </wp:inline>
        </w:drawing>
      </w:r>
    </w:p>
    <w:p>
      <w:pPr>
        <w:numPr>
          <w:ilvl w:val="0"/>
          <w:numId w:val="0"/>
        </w:numPr>
        <w:ind w:leftChars="0"/>
        <w:jc w:val="both"/>
        <w:rPr>
          <w:color w:val="auto"/>
        </w:rPr>
      </w:pPr>
    </w:p>
    <w:p>
      <w:pPr>
        <w:numPr>
          <w:ilvl w:val="0"/>
          <w:numId w:val="0"/>
        </w:numPr>
        <w:ind w:leftChars="0"/>
        <w:jc w:val="both"/>
        <w:rPr>
          <w:color w:val="auto"/>
        </w:rPr>
      </w:pPr>
    </w:p>
    <w:p>
      <w:pPr>
        <w:numPr>
          <w:ilvl w:val="0"/>
          <w:numId w:val="0"/>
        </w:numPr>
        <w:ind w:leftChars="0"/>
        <w:jc w:val="both"/>
        <w:rPr>
          <w:color w:val="auto"/>
        </w:rPr>
      </w:pPr>
    </w:p>
    <w:p>
      <w:pPr>
        <w:numPr>
          <w:ilvl w:val="0"/>
          <w:numId w:val="0"/>
        </w:numPr>
        <w:ind w:leftChars="0"/>
        <w:jc w:val="both"/>
        <w:rPr>
          <w:color w:val="auto"/>
        </w:rPr>
      </w:pPr>
    </w:p>
    <w:p>
      <w:pPr>
        <w:numPr>
          <w:ilvl w:val="0"/>
          <w:numId w:val="0"/>
        </w:numPr>
        <w:ind w:leftChars="0"/>
        <w:jc w:val="both"/>
        <w:rPr>
          <w:color w:val="auto"/>
        </w:rPr>
      </w:pPr>
    </w:p>
    <w:p>
      <w:pPr>
        <w:rPr>
          <w:rFonts w:hint="eastAsia"/>
          <w:b/>
          <w:bCs/>
          <w:color w:val="auto"/>
          <w:sz w:val="36"/>
          <w:szCs w:val="44"/>
          <w:lang w:val="en-US" w:eastAsia="zh-CN"/>
        </w:rPr>
      </w:pPr>
      <w:r>
        <w:rPr>
          <w:rFonts w:hint="eastAsia"/>
          <w:b/>
          <w:bCs/>
          <w:color w:val="auto"/>
          <w:sz w:val="36"/>
          <w:szCs w:val="44"/>
          <w:lang w:val="en-US" w:eastAsia="zh-CN"/>
        </w:rPr>
        <w:t>5、板块分区图</w:t>
      </w:r>
    </w:p>
    <w:p>
      <w:pPr>
        <w:numPr>
          <w:ilvl w:val="0"/>
          <w:numId w:val="0"/>
        </w:numPr>
        <w:ind w:leftChars="0"/>
        <w:jc w:val="both"/>
        <w:rPr>
          <w:color w:val="auto"/>
        </w:rPr>
      </w:pPr>
      <w:r>
        <w:rPr>
          <w:color w:val="auto"/>
        </w:rPr>
        <w:drawing>
          <wp:inline distT="0" distB="0" distL="114300" distR="114300">
            <wp:extent cx="6628130" cy="3638550"/>
            <wp:effectExtent l="0" t="0" r="127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6"/>
                    <a:stretch>
                      <a:fillRect/>
                    </a:stretch>
                  </pic:blipFill>
                  <pic:spPr>
                    <a:xfrm>
                      <a:off x="0" y="0"/>
                      <a:ext cx="6628130" cy="3638550"/>
                    </a:xfrm>
                    <a:prstGeom prst="rect">
                      <a:avLst/>
                    </a:prstGeom>
                    <a:noFill/>
                    <a:ln>
                      <a:noFill/>
                    </a:ln>
                  </pic:spPr>
                </pic:pic>
              </a:graphicData>
            </a:graphic>
          </wp:inline>
        </w:drawing>
      </w:r>
    </w:p>
    <w:p>
      <w:pPr>
        <w:numPr>
          <w:ilvl w:val="0"/>
          <w:numId w:val="0"/>
        </w:numPr>
        <w:ind w:leftChars="0"/>
        <w:jc w:val="both"/>
        <w:rPr>
          <w:color w:val="auto"/>
        </w:rPr>
      </w:pPr>
    </w:p>
    <w:p>
      <w:pPr>
        <w:numPr>
          <w:ilvl w:val="0"/>
          <w:numId w:val="0"/>
        </w:numPr>
        <w:ind w:leftChars="0"/>
        <w:jc w:val="both"/>
        <w:rPr>
          <w:color w:val="auto"/>
        </w:rPr>
      </w:pPr>
    </w:p>
    <w:p>
      <w:pPr>
        <w:numPr>
          <w:ilvl w:val="0"/>
          <w:numId w:val="0"/>
        </w:numPr>
        <w:ind w:leftChars="0"/>
        <w:jc w:val="both"/>
        <w:rPr>
          <w:color w:val="auto"/>
        </w:rPr>
      </w:pPr>
    </w:p>
    <w:p>
      <w:pPr>
        <w:rPr>
          <w:rFonts w:hint="eastAsia"/>
          <w:b/>
          <w:bCs/>
          <w:color w:val="auto"/>
          <w:sz w:val="36"/>
          <w:szCs w:val="44"/>
          <w:lang w:val="en-US" w:eastAsia="zh-CN"/>
        </w:rPr>
      </w:pPr>
      <w:r>
        <w:rPr>
          <w:rFonts w:hint="eastAsia"/>
          <w:b/>
          <w:bCs/>
          <w:color w:val="auto"/>
          <w:sz w:val="36"/>
          <w:szCs w:val="44"/>
          <w:lang w:val="en-US" w:eastAsia="zh-CN"/>
        </w:rPr>
        <w:t>6、展示布局图</w:t>
      </w:r>
    </w:p>
    <w:p>
      <w:pPr>
        <w:numPr>
          <w:ilvl w:val="0"/>
          <w:numId w:val="0"/>
        </w:numPr>
        <w:ind w:leftChars="0"/>
        <w:jc w:val="both"/>
        <w:rPr>
          <w:color w:val="auto"/>
        </w:rPr>
      </w:pPr>
      <w:r>
        <w:rPr>
          <w:color w:val="auto"/>
        </w:rPr>
        <w:drawing>
          <wp:inline distT="0" distB="0" distL="114300" distR="114300">
            <wp:extent cx="6630670" cy="3616325"/>
            <wp:effectExtent l="0" t="0" r="17780" b="317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7"/>
                    <a:stretch>
                      <a:fillRect/>
                    </a:stretch>
                  </pic:blipFill>
                  <pic:spPr>
                    <a:xfrm>
                      <a:off x="0" y="0"/>
                      <a:ext cx="6630670" cy="3616325"/>
                    </a:xfrm>
                    <a:prstGeom prst="rect">
                      <a:avLst/>
                    </a:prstGeom>
                    <a:noFill/>
                    <a:ln>
                      <a:noFill/>
                    </a:ln>
                  </pic:spPr>
                </pic:pic>
              </a:graphicData>
            </a:graphic>
          </wp:inline>
        </w:drawing>
      </w:r>
    </w:p>
    <w:p>
      <w:pPr>
        <w:numPr>
          <w:ilvl w:val="0"/>
          <w:numId w:val="0"/>
        </w:numPr>
        <w:ind w:leftChars="0"/>
        <w:jc w:val="both"/>
        <w:rPr>
          <w:color w:val="auto"/>
        </w:rPr>
      </w:pPr>
    </w:p>
    <w:p>
      <w:pPr>
        <w:numPr>
          <w:ilvl w:val="0"/>
          <w:numId w:val="0"/>
        </w:numPr>
        <w:ind w:leftChars="0"/>
        <w:jc w:val="both"/>
        <w:rPr>
          <w:color w:val="auto"/>
        </w:rPr>
      </w:pPr>
    </w:p>
    <w:p>
      <w:pPr>
        <w:numPr>
          <w:ilvl w:val="0"/>
          <w:numId w:val="0"/>
        </w:numPr>
        <w:ind w:leftChars="0"/>
        <w:jc w:val="both"/>
        <w:rPr>
          <w:color w:val="auto"/>
        </w:rPr>
      </w:pPr>
    </w:p>
    <w:p>
      <w:pPr>
        <w:rPr>
          <w:rFonts w:hint="eastAsia"/>
          <w:b/>
          <w:bCs/>
          <w:color w:val="auto"/>
          <w:sz w:val="36"/>
          <w:szCs w:val="44"/>
          <w:lang w:val="en-US" w:eastAsia="zh-CN"/>
        </w:rPr>
      </w:pPr>
      <w:r>
        <w:rPr>
          <w:rFonts w:hint="eastAsia"/>
          <w:b/>
          <w:bCs/>
          <w:color w:val="auto"/>
          <w:sz w:val="36"/>
          <w:szCs w:val="44"/>
          <w:lang w:val="en-US" w:eastAsia="zh-CN"/>
        </w:rPr>
        <w:t>7、参观线路图</w:t>
      </w:r>
    </w:p>
    <w:p>
      <w:pPr>
        <w:numPr>
          <w:ilvl w:val="0"/>
          <w:numId w:val="0"/>
        </w:numPr>
        <w:ind w:leftChars="0"/>
        <w:jc w:val="both"/>
        <w:rPr>
          <w:color w:val="auto"/>
        </w:rPr>
      </w:pPr>
      <w:r>
        <w:rPr>
          <w:color w:val="auto"/>
        </w:rPr>
        <w:drawing>
          <wp:inline distT="0" distB="0" distL="114300" distR="114300">
            <wp:extent cx="6640830" cy="3627120"/>
            <wp:effectExtent l="0" t="0" r="7620" b="1143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8"/>
                    <a:stretch>
                      <a:fillRect/>
                    </a:stretch>
                  </pic:blipFill>
                  <pic:spPr>
                    <a:xfrm>
                      <a:off x="0" y="0"/>
                      <a:ext cx="6640830" cy="3627120"/>
                    </a:xfrm>
                    <a:prstGeom prst="rect">
                      <a:avLst/>
                    </a:prstGeom>
                    <a:noFill/>
                    <a:ln>
                      <a:noFill/>
                    </a:ln>
                  </pic:spPr>
                </pic:pic>
              </a:graphicData>
            </a:graphic>
          </wp:inline>
        </w:drawing>
      </w:r>
    </w:p>
    <w:p>
      <w:pPr>
        <w:numPr>
          <w:ilvl w:val="0"/>
          <w:numId w:val="0"/>
        </w:numPr>
        <w:ind w:leftChars="0"/>
        <w:jc w:val="both"/>
        <w:rPr>
          <w:color w:val="auto"/>
        </w:rPr>
      </w:pPr>
    </w:p>
    <w:p>
      <w:pPr>
        <w:numPr>
          <w:ilvl w:val="0"/>
          <w:numId w:val="0"/>
        </w:numPr>
        <w:ind w:leftChars="0"/>
        <w:jc w:val="both"/>
        <w:rPr>
          <w:color w:val="auto"/>
        </w:rPr>
      </w:pPr>
    </w:p>
    <w:p>
      <w:pPr>
        <w:numPr>
          <w:ilvl w:val="0"/>
          <w:numId w:val="0"/>
        </w:numPr>
        <w:ind w:leftChars="0"/>
        <w:jc w:val="both"/>
        <w:rPr>
          <w:color w:val="auto"/>
        </w:rPr>
      </w:pPr>
    </w:p>
    <w:p>
      <w:pPr>
        <w:numPr>
          <w:ilvl w:val="0"/>
          <w:numId w:val="4"/>
        </w:numPr>
        <w:rPr>
          <w:rFonts w:hint="eastAsia"/>
          <w:b/>
          <w:bCs/>
          <w:color w:val="auto"/>
          <w:sz w:val="36"/>
          <w:szCs w:val="44"/>
          <w:lang w:val="en-US" w:eastAsia="zh-CN"/>
        </w:rPr>
      </w:pPr>
      <w:r>
        <w:rPr>
          <w:rFonts w:hint="eastAsia"/>
          <w:b/>
          <w:bCs/>
          <w:color w:val="auto"/>
          <w:sz w:val="36"/>
          <w:szCs w:val="44"/>
          <w:lang w:val="en-US" w:eastAsia="zh-CN"/>
        </w:rPr>
        <w:t>局部展示图1</w:t>
      </w:r>
    </w:p>
    <w:p>
      <w:pPr>
        <w:numPr>
          <w:ilvl w:val="0"/>
          <w:numId w:val="0"/>
        </w:numPr>
        <w:rPr>
          <w:color w:val="auto"/>
        </w:rPr>
      </w:pPr>
      <w:r>
        <w:rPr>
          <w:color w:val="auto"/>
        </w:rPr>
        <w:drawing>
          <wp:inline distT="0" distB="0" distL="114300" distR="114300">
            <wp:extent cx="6628130" cy="3621405"/>
            <wp:effectExtent l="0" t="0" r="1270" b="1714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9"/>
                    <a:stretch>
                      <a:fillRect/>
                    </a:stretch>
                  </pic:blipFill>
                  <pic:spPr>
                    <a:xfrm>
                      <a:off x="0" y="0"/>
                      <a:ext cx="6628130" cy="3621405"/>
                    </a:xfrm>
                    <a:prstGeom prst="rect">
                      <a:avLst/>
                    </a:prstGeom>
                    <a:noFill/>
                    <a:ln>
                      <a:noFill/>
                    </a:ln>
                  </pic:spPr>
                </pic:pic>
              </a:graphicData>
            </a:graphic>
          </wp:inline>
        </w:drawing>
      </w:r>
    </w:p>
    <w:p>
      <w:pPr>
        <w:numPr>
          <w:ilvl w:val="0"/>
          <w:numId w:val="0"/>
        </w:numPr>
        <w:rPr>
          <w:color w:val="auto"/>
        </w:rPr>
      </w:pPr>
    </w:p>
    <w:p>
      <w:pPr>
        <w:numPr>
          <w:ilvl w:val="0"/>
          <w:numId w:val="0"/>
        </w:numPr>
        <w:rPr>
          <w:color w:val="auto"/>
        </w:rPr>
      </w:pPr>
    </w:p>
    <w:p>
      <w:pPr>
        <w:numPr>
          <w:ilvl w:val="0"/>
          <w:numId w:val="0"/>
        </w:numPr>
        <w:rPr>
          <w:color w:val="auto"/>
        </w:rPr>
      </w:pPr>
    </w:p>
    <w:p>
      <w:pPr>
        <w:numPr>
          <w:ilvl w:val="0"/>
          <w:numId w:val="0"/>
        </w:numPr>
        <w:rPr>
          <w:color w:val="auto"/>
        </w:rPr>
      </w:pPr>
    </w:p>
    <w:p>
      <w:pPr>
        <w:numPr>
          <w:ilvl w:val="0"/>
          <w:numId w:val="4"/>
        </w:numPr>
        <w:rPr>
          <w:rFonts w:hint="eastAsia"/>
          <w:b/>
          <w:bCs/>
          <w:color w:val="auto"/>
          <w:sz w:val="36"/>
          <w:szCs w:val="44"/>
          <w:lang w:val="en-US" w:eastAsia="zh-CN"/>
        </w:rPr>
      </w:pPr>
      <w:r>
        <w:rPr>
          <w:rFonts w:hint="eastAsia"/>
          <w:b/>
          <w:bCs/>
          <w:color w:val="auto"/>
          <w:sz w:val="36"/>
          <w:szCs w:val="44"/>
          <w:lang w:val="en-US" w:eastAsia="zh-CN"/>
        </w:rPr>
        <w:t>局部展示图2</w:t>
      </w:r>
    </w:p>
    <w:p>
      <w:pPr>
        <w:numPr>
          <w:ilvl w:val="0"/>
          <w:numId w:val="0"/>
        </w:numPr>
        <w:rPr>
          <w:color w:val="auto"/>
        </w:rPr>
      </w:pPr>
      <w:r>
        <w:rPr>
          <w:color w:val="auto"/>
        </w:rPr>
        <w:drawing>
          <wp:inline distT="0" distB="0" distL="114300" distR="114300">
            <wp:extent cx="6633210" cy="3640455"/>
            <wp:effectExtent l="0" t="0" r="15240" b="1714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20"/>
                    <a:stretch>
                      <a:fillRect/>
                    </a:stretch>
                  </pic:blipFill>
                  <pic:spPr>
                    <a:xfrm>
                      <a:off x="0" y="0"/>
                      <a:ext cx="6633210" cy="3640455"/>
                    </a:xfrm>
                    <a:prstGeom prst="rect">
                      <a:avLst/>
                    </a:prstGeom>
                    <a:noFill/>
                    <a:ln>
                      <a:noFill/>
                    </a:ln>
                  </pic:spPr>
                </pic:pic>
              </a:graphicData>
            </a:graphic>
          </wp:inline>
        </w:drawing>
      </w:r>
    </w:p>
    <w:p>
      <w:pPr>
        <w:numPr>
          <w:ilvl w:val="0"/>
          <w:numId w:val="0"/>
        </w:numPr>
        <w:rPr>
          <w:color w:val="auto"/>
        </w:rPr>
      </w:pPr>
    </w:p>
    <w:p>
      <w:pPr>
        <w:numPr>
          <w:ilvl w:val="0"/>
          <w:numId w:val="0"/>
        </w:numPr>
        <w:rPr>
          <w:color w:val="auto"/>
        </w:rPr>
      </w:pPr>
    </w:p>
    <w:p>
      <w:pPr>
        <w:numPr>
          <w:ilvl w:val="0"/>
          <w:numId w:val="0"/>
        </w:numPr>
        <w:rPr>
          <w:color w:val="auto"/>
        </w:rPr>
      </w:pPr>
    </w:p>
    <w:p>
      <w:pPr>
        <w:numPr>
          <w:ilvl w:val="0"/>
          <w:numId w:val="4"/>
        </w:numPr>
        <w:rPr>
          <w:rFonts w:hint="eastAsia"/>
          <w:b/>
          <w:bCs/>
          <w:color w:val="auto"/>
          <w:sz w:val="36"/>
          <w:szCs w:val="44"/>
          <w:lang w:val="en-US" w:eastAsia="zh-CN"/>
        </w:rPr>
      </w:pPr>
      <w:r>
        <w:rPr>
          <w:rFonts w:hint="eastAsia"/>
          <w:b/>
          <w:bCs/>
          <w:color w:val="auto"/>
          <w:sz w:val="36"/>
          <w:szCs w:val="44"/>
          <w:lang w:val="en-US" w:eastAsia="zh-CN"/>
        </w:rPr>
        <w:t>局部展示图3</w:t>
      </w:r>
    </w:p>
    <w:p>
      <w:pPr>
        <w:numPr>
          <w:ilvl w:val="0"/>
          <w:numId w:val="0"/>
        </w:numPr>
        <w:rPr>
          <w:color w:val="auto"/>
        </w:rPr>
      </w:pPr>
      <w:r>
        <w:rPr>
          <w:color w:val="auto"/>
        </w:rPr>
        <w:drawing>
          <wp:inline distT="0" distB="0" distL="114300" distR="114300">
            <wp:extent cx="6633845" cy="3631565"/>
            <wp:effectExtent l="0" t="0" r="14605" b="698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21"/>
                    <a:stretch>
                      <a:fillRect/>
                    </a:stretch>
                  </pic:blipFill>
                  <pic:spPr>
                    <a:xfrm>
                      <a:off x="0" y="0"/>
                      <a:ext cx="6633845" cy="3631565"/>
                    </a:xfrm>
                    <a:prstGeom prst="rect">
                      <a:avLst/>
                    </a:prstGeom>
                    <a:noFill/>
                    <a:ln>
                      <a:noFill/>
                    </a:ln>
                  </pic:spPr>
                </pic:pic>
              </a:graphicData>
            </a:graphic>
          </wp:inline>
        </w:drawing>
      </w:r>
    </w:p>
    <w:p>
      <w:pPr>
        <w:numPr>
          <w:ilvl w:val="0"/>
          <w:numId w:val="0"/>
        </w:numPr>
        <w:rPr>
          <w:color w:val="auto"/>
        </w:rPr>
      </w:pPr>
    </w:p>
    <w:p>
      <w:pPr>
        <w:numPr>
          <w:ilvl w:val="0"/>
          <w:numId w:val="0"/>
        </w:numPr>
        <w:rPr>
          <w:color w:val="auto"/>
        </w:rPr>
      </w:pPr>
    </w:p>
    <w:p>
      <w:pPr>
        <w:numPr>
          <w:ilvl w:val="0"/>
          <w:numId w:val="0"/>
        </w:numPr>
        <w:rPr>
          <w:color w:val="auto"/>
        </w:rPr>
      </w:pPr>
    </w:p>
    <w:p>
      <w:pPr>
        <w:numPr>
          <w:ilvl w:val="0"/>
          <w:numId w:val="0"/>
        </w:numPr>
        <w:rPr>
          <w:color w:val="auto"/>
        </w:rPr>
      </w:pPr>
    </w:p>
    <w:p>
      <w:pPr>
        <w:numPr>
          <w:ilvl w:val="0"/>
          <w:numId w:val="4"/>
        </w:numPr>
        <w:rPr>
          <w:rFonts w:hint="eastAsia"/>
          <w:b/>
          <w:bCs/>
          <w:color w:val="auto"/>
          <w:sz w:val="36"/>
          <w:szCs w:val="44"/>
          <w:lang w:val="en-US" w:eastAsia="zh-CN"/>
        </w:rPr>
      </w:pPr>
      <w:r>
        <w:rPr>
          <w:rFonts w:hint="eastAsia"/>
          <w:b/>
          <w:bCs/>
          <w:color w:val="auto"/>
          <w:sz w:val="36"/>
          <w:szCs w:val="44"/>
          <w:lang w:val="en-US" w:eastAsia="zh-CN"/>
        </w:rPr>
        <w:t>局部展示图4</w:t>
      </w:r>
    </w:p>
    <w:p>
      <w:pPr>
        <w:numPr>
          <w:ilvl w:val="0"/>
          <w:numId w:val="0"/>
        </w:numPr>
        <w:rPr>
          <w:color w:val="auto"/>
        </w:rPr>
      </w:pPr>
      <w:r>
        <w:rPr>
          <w:color w:val="auto"/>
        </w:rPr>
        <w:drawing>
          <wp:inline distT="0" distB="0" distL="114300" distR="114300">
            <wp:extent cx="6633210" cy="3640455"/>
            <wp:effectExtent l="0" t="0" r="15240" b="1714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2"/>
                    <a:stretch>
                      <a:fillRect/>
                    </a:stretch>
                  </pic:blipFill>
                  <pic:spPr>
                    <a:xfrm>
                      <a:off x="0" y="0"/>
                      <a:ext cx="6633210" cy="3640455"/>
                    </a:xfrm>
                    <a:prstGeom prst="rect">
                      <a:avLst/>
                    </a:prstGeom>
                    <a:noFill/>
                    <a:ln>
                      <a:noFill/>
                    </a:ln>
                  </pic:spPr>
                </pic:pic>
              </a:graphicData>
            </a:graphic>
          </wp:inline>
        </w:drawing>
      </w:r>
    </w:p>
    <w:p>
      <w:pPr>
        <w:numPr>
          <w:ilvl w:val="0"/>
          <w:numId w:val="0"/>
        </w:numPr>
        <w:rPr>
          <w:color w:val="auto"/>
        </w:rPr>
      </w:pPr>
    </w:p>
    <w:p>
      <w:pPr>
        <w:numPr>
          <w:ilvl w:val="0"/>
          <w:numId w:val="0"/>
        </w:numPr>
        <w:rPr>
          <w:color w:val="auto"/>
        </w:rPr>
      </w:pPr>
    </w:p>
    <w:p>
      <w:pPr>
        <w:numPr>
          <w:ilvl w:val="0"/>
          <w:numId w:val="0"/>
        </w:numPr>
        <w:rPr>
          <w:color w:val="auto"/>
        </w:rPr>
      </w:pPr>
    </w:p>
    <w:p>
      <w:pPr>
        <w:numPr>
          <w:ilvl w:val="0"/>
          <w:numId w:val="4"/>
        </w:numPr>
        <w:rPr>
          <w:rFonts w:hint="eastAsia"/>
          <w:b/>
          <w:bCs/>
          <w:color w:val="auto"/>
          <w:sz w:val="36"/>
          <w:szCs w:val="44"/>
          <w:lang w:val="en-US" w:eastAsia="zh-CN"/>
        </w:rPr>
      </w:pPr>
      <w:r>
        <w:rPr>
          <w:rFonts w:hint="eastAsia"/>
          <w:b/>
          <w:bCs/>
          <w:color w:val="auto"/>
          <w:sz w:val="36"/>
          <w:szCs w:val="44"/>
          <w:lang w:val="en-US" w:eastAsia="zh-CN"/>
        </w:rPr>
        <w:t>局部展示图5</w:t>
      </w:r>
    </w:p>
    <w:p>
      <w:pPr>
        <w:numPr>
          <w:ilvl w:val="0"/>
          <w:numId w:val="0"/>
        </w:numPr>
        <w:rPr>
          <w:color w:val="auto"/>
        </w:rPr>
      </w:pPr>
      <w:r>
        <w:rPr>
          <w:color w:val="auto"/>
        </w:rPr>
        <w:drawing>
          <wp:inline distT="0" distB="0" distL="114300" distR="114300">
            <wp:extent cx="6631305" cy="3611880"/>
            <wp:effectExtent l="0" t="0" r="17145" b="762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23"/>
                    <a:stretch>
                      <a:fillRect/>
                    </a:stretch>
                  </pic:blipFill>
                  <pic:spPr>
                    <a:xfrm>
                      <a:off x="0" y="0"/>
                      <a:ext cx="6631305" cy="3611880"/>
                    </a:xfrm>
                    <a:prstGeom prst="rect">
                      <a:avLst/>
                    </a:prstGeom>
                    <a:noFill/>
                    <a:ln>
                      <a:noFill/>
                    </a:ln>
                  </pic:spPr>
                </pic:pic>
              </a:graphicData>
            </a:graphic>
          </wp:inline>
        </w:drawing>
      </w:r>
    </w:p>
    <w:p>
      <w:pPr>
        <w:numPr>
          <w:ilvl w:val="0"/>
          <w:numId w:val="0"/>
        </w:numPr>
        <w:rPr>
          <w:color w:val="auto"/>
        </w:rPr>
      </w:pPr>
    </w:p>
    <w:p>
      <w:pPr>
        <w:numPr>
          <w:ilvl w:val="0"/>
          <w:numId w:val="0"/>
        </w:numPr>
        <w:rPr>
          <w:color w:val="auto"/>
        </w:rPr>
      </w:pPr>
    </w:p>
    <w:p>
      <w:pPr>
        <w:numPr>
          <w:ilvl w:val="0"/>
          <w:numId w:val="0"/>
        </w:numPr>
        <w:rPr>
          <w:color w:val="auto"/>
        </w:rPr>
      </w:pPr>
    </w:p>
    <w:p>
      <w:pPr>
        <w:numPr>
          <w:ilvl w:val="0"/>
          <w:numId w:val="0"/>
        </w:numPr>
        <w:rPr>
          <w:color w:val="auto"/>
        </w:rPr>
      </w:pPr>
    </w:p>
    <w:p>
      <w:pPr>
        <w:numPr>
          <w:ilvl w:val="0"/>
          <w:numId w:val="4"/>
        </w:numPr>
        <w:rPr>
          <w:rFonts w:hint="eastAsia"/>
          <w:b/>
          <w:bCs/>
          <w:color w:val="auto"/>
          <w:sz w:val="36"/>
          <w:szCs w:val="44"/>
          <w:lang w:val="en-US" w:eastAsia="zh-CN"/>
        </w:rPr>
      </w:pPr>
      <w:r>
        <w:rPr>
          <w:rFonts w:hint="eastAsia"/>
          <w:b/>
          <w:bCs/>
          <w:color w:val="auto"/>
          <w:sz w:val="36"/>
          <w:szCs w:val="44"/>
          <w:lang w:val="en-US" w:eastAsia="zh-CN"/>
        </w:rPr>
        <w:t>局部展示图6</w:t>
      </w:r>
    </w:p>
    <w:p>
      <w:pPr>
        <w:rPr>
          <w:color w:val="auto"/>
        </w:rPr>
      </w:pPr>
      <w:r>
        <w:rPr>
          <w:color w:val="auto"/>
        </w:rPr>
        <w:drawing>
          <wp:inline distT="0" distB="0" distL="114300" distR="114300">
            <wp:extent cx="6640830" cy="3634740"/>
            <wp:effectExtent l="0" t="0" r="7620" b="381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pic:cNvPicPr>
                  </pic:nvPicPr>
                  <pic:blipFill>
                    <a:blip r:embed="rId24"/>
                    <a:stretch>
                      <a:fillRect/>
                    </a:stretch>
                  </pic:blipFill>
                  <pic:spPr>
                    <a:xfrm>
                      <a:off x="0" y="0"/>
                      <a:ext cx="6640830" cy="3634740"/>
                    </a:xfrm>
                    <a:prstGeom prst="rect">
                      <a:avLst/>
                    </a:prstGeom>
                    <a:noFill/>
                    <a:ln>
                      <a:noFill/>
                    </a:ln>
                  </pic:spPr>
                </pic:pic>
              </a:graphicData>
            </a:graphic>
          </wp:inline>
        </w:drawing>
      </w:r>
    </w:p>
    <w:sectPr>
      <w:headerReference r:id="rId8" w:type="default"/>
      <w:footerReference r:id="rId9" w:type="default"/>
      <w:pgSz w:w="11907" w:h="16840"/>
      <w:pgMar w:top="1134" w:right="1191" w:bottom="1134" w:left="1304" w:header="851" w:footer="992" w:gutter="0"/>
      <w:cols w:space="72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17" name="4098"/>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ffectLst/>
                    </wps:spPr>
                    <wps:txbx>
                      <w:txbxContent>
                        <w:p>
                          <w:pPr>
                            <w:snapToGrid w:val="0"/>
                            <w:rPr>
                              <w:sz w:val="18"/>
                            </w:rPr>
                          </w:pPr>
                        </w:p>
                      </w:txbxContent>
                    </wps:txbx>
                    <wps:bodyPr rot="0" vert="horz" wrap="none" lIns="0" tIns="0" rIns="0" bIns="0" anchor="t" anchorCtr="0" upright="1">
                      <a:spAutoFit/>
                    </wps:bodyPr>
                  </wps:wsp>
                </a:graphicData>
              </a:graphic>
            </wp:anchor>
          </w:drawing>
        </mc:Choice>
        <mc:Fallback>
          <w:pict>
            <v:shape id="4098"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fLHALRAAAAAgEAAA8AAAAAAAAAAQAgAAAAIgAAAGRycy9kb3ducmV2LnhtbFBL&#10;AQIUABQAAAAIAIdO4kDSkTCO/QEAAAkEAAAOAAAAAAAAAAEAIAAAACABAABkcnMvZTJvRG9jLnht&#10;bFBLBQYAAAAABgAGAFkBAACP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47955"/>
              <wp:effectExtent l="0" t="0" r="0" b="0"/>
              <wp:wrapNone/>
              <wp:docPr id="21" name="4098"/>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4098" o:spid="_x0000_s1026" o:spt="202" type="#_x0000_t202" style="position:absolute;left:0pt;margin-top:0pt;height:11.65pt;width:4.55pt;mso-position-horizontal:center;mso-position-horizontal-relative:margin;mso-wrap-style:none;z-index:251663360;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fLHALRAAAAAgEAAA8AAAAAAAAAAQAgAAAAIgAAAGRycy9kb3ducmV2LnhtbFBL&#10;AQIUABQAAAAIAIdO4kAMTwhf/QEAAAkEAAAOAAAAAAAAAAEAIAAAACABAABkcnMvZTJvRG9jLnht&#10;bFBLBQYAAAAABgAGAFkBAACP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eastAsia="宋体"/>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47955"/>
              <wp:effectExtent l="0" t="0" r="0" b="0"/>
              <wp:wrapNone/>
              <wp:docPr id="18" name="4099"/>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4099" o:spid="_x0000_s1026" o:spt="202" type="#_x0000_t202" style="position:absolute;left:0pt;margin-top:0pt;height:11.65pt;width:4.55pt;mso-position-horizontal:center;mso-position-horizontal-relative:margin;mso-wrap-style:none;z-index:251661312;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fLHALRAAAAAgEAAA8AAAAAAAAAAQAgAAAAIgAAAGRycy9kb3ducmV2LnhtbFBL&#10;AQIUABQAAAAIAIdO4kC1zKpC/QEAAAkEAAAOAAAAAAAAAAEAIAAAACABAABkcnMvZTJvRG9jLnht&#10;bFBLBQYAAAAABgAGAFkBAACP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eastAsia="宋体"/>
        <w:sz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0" r="0" b="0"/>
              <wp:wrapNone/>
              <wp:docPr id="19" name="4100"/>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4100" o:spid="_x0000_s1026" o:spt="202" type="#_x0000_t202" style="position:absolute;left:0pt;margin-top:0pt;height:11.65pt;width:4.55pt;mso-position-horizontal:center;mso-position-horizontal-relative:margin;mso-wrap-style:none;z-index:251662336;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nyxwC0QAAAAIBAAAPAAAAAAAAAAEAIAAAACIAAABkcnMvZG93bnJldi54bWxQSwEC&#10;FAAUAAAACACHTuJAYZVTS/sBAAAJBAAADgAAAAAAAAABACAAAAAgAQAAZHJzL2Uyb0RvYy54bWxQ&#10;SwUGAAAAAAYABgBZAQAAj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eastAsia="宋体"/>
        <w:sz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7955"/>
              <wp:effectExtent l="0" t="0" r="0" b="0"/>
              <wp:wrapNone/>
              <wp:docPr id="20" name="4101"/>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4101" o:spid="_x0000_s1026" o:spt="202" type="#_x0000_t202" style="position:absolute;left:0pt;margin-top:0pt;height:11.65pt;width:9.05pt;mso-position-horizontal:center;mso-position-horizontal-relative:margin;mso-wrap-style:none;z-index:251662336;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6W/D9EAAAADAQAADwAAAAAAAAABACAAAAAiAAAAZHJzL2Rvd25yZXYueG1sUEsB&#10;AhQAFAAAAAgAh07iQECEeWH8AQAACgQAAA4AAAAAAAAAAQAgAAAAIAEAAGRycy9lMm9Eb2MueG1s&#10;UEsFBgAAAAAGAAYAWQEAAI4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方正仿宋_GBK" w:hAnsi="Times New Roman" w:eastAsia="方正仿宋_GBK"/>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DB03DA"/>
    <w:multiLevelType w:val="singleLevel"/>
    <w:tmpl w:val="D1DB03DA"/>
    <w:lvl w:ilvl="0" w:tentative="0">
      <w:start w:val="8"/>
      <w:numFmt w:val="decimal"/>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pPr>
        <w:ind w:left="0" w:firstLine="0"/>
      </w:pPr>
      <w:rPr>
        <w:rFonts w:hint="default" w:ascii="宋体" w:hAnsi="宋体"/>
        <w:w w:val="100"/>
      </w:rPr>
    </w:lvl>
  </w:abstractNum>
  <w:abstractNum w:abstractNumId="2">
    <w:nsid w:val="31D0367D"/>
    <w:multiLevelType w:val="multilevel"/>
    <w:tmpl w:val="31D0367D"/>
    <w:lvl w:ilvl="0" w:tentative="0">
      <w:start w:val="1"/>
      <w:numFmt w:val="decimal"/>
      <w:lvlText w:val="%1、"/>
      <w:lvlJc w:val="left"/>
      <w:pPr>
        <w:ind w:left="-360" w:hanging="360"/>
      </w:pPr>
      <w:rPr>
        <w:rFonts w:hint="default" w:ascii="宋体" w:hAnsi="宋体"/>
        <w:w w:val="100"/>
      </w:rPr>
    </w:lvl>
    <w:lvl w:ilvl="1" w:tentative="0">
      <w:start w:val="1"/>
      <w:numFmt w:val="decimal"/>
      <w:lvlText w:val="（%2）"/>
      <w:lvlJc w:val="left"/>
      <w:pPr>
        <w:ind w:left="1140" w:hanging="720"/>
      </w:pPr>
      <w:rPr>
        <w:rFonts w:hint="default" w:ascii="宋体" w:hAnsi="宋体"/>
        <w:w w:val="100"/>
      </w:rPr>
    </w:lvl>
    <w:lvl w:ilvl="2" w:tentative="0">
      <w:start w:val="1"/>
      <w:numFmt w:val="lowerRoman"/>
      <w:lvlText w:val="%3."/>
      <w:lvlJc w:val="right"/>
      <w:pPr>
        <w:ind w:left="1260" w:hanging="420"/>
      </w:pPr>
      <w:rPr>
        <w:rFonts w:hint="default" w:ascii="宋体" w:hAnsi="宋体"/>
        <w:w w:val="100"/>
      </w:rPr>
    </w:lvl>
    <w:lvl w:ilvl="3" w:tentative="0">
      <w:start w:val="1"/>
      <w:numFmt w:val="decimal"/>
      <w:lvlText w:val="%4."/>
      <w:lvlJc w:val="left"/>
      <w:pPr>
        <w:ind w:left="1680" w:hanging="420"/>
      </w:pPr>
      <w:rPr>
        <w:rFonts w:hint="default" w:ascii="宋体" w:hAnsi="宋体"/>
        <w:w w:val="100"/>
      </w:rPr>
    </w:lvl>
    <w:lvl w:ilvl="4" w:tentative="0">
      <w:start w:val="1"/>
      <w:numFmt w:val="lowerLetter"/>
      <w:lvlText w:val="%5)"/>
      <w:lvlJc w:val="left"/>
      <w:pPr>
        <w:ind w:left="2100" w:hanging="420"/>
      </w:pPr>
      <w:rPr>
        <w:rFonts w:hint="default" w:ascii="宋体" w:hAnsi="宋体"/>
        <w:w w:val="100"/>
      </w:rPr>
    </w:lvl>
    <w:lvl w:ilvl="5" w:tentative="0">
      <w:start w:val="1"/>
      <w:numFmt w:val="lowerRoman"/>
      <w:lvlText w:val="%6."/>
      <w:lvlJc w:val="right"/>
      <w:pPr>
        <w:ind w:left="2520" w:hanging="420"/>
      </w:pPr>
      <w:rPr>
        <w:rFonts w:hint="default" w:ascii="宋体" w:hAnsi="宋体"/>
        <w:w w:val="100"/>
      </w:rPr>
    </w:lvl>
    <w:lvl w:ilvl="6" w:tentative="0">
      <w:start w:val="1"/>
      <w:numFmt w:val="decimal"/>
      <w:lvlText w:val="%7."/>
      <w:lvlJc w:val="left"/>
      <w:pPr>
        <w:ind w:left="2940" w:hanging="420"/>
      </w:pPr>
      <w:rPr>
        <w:rFonts w:hint="default" w:ascii="宋体" w:hAnsi="宋体"/>
        <w:w w:val="100"/>
      </w:rPr>
    </w:lvl>
    <w:lvl w:ilvl="7" w:tentative="0">
      <w:start w:val="1"/>
      <w:numFmt w:val="lowerLetter"/>
      <w:lvlText w:val="%8)"/>
      <w:lvlJc w:val="left"/>
      <w:pPr>
        <w:ind w:left="3360" w:hanging="420"/>
      </w:pPr>
      <w:rPr>
        <w:rFonts w:hint="default" w:ascii="宋体" w:hAnsi="宋体"/>
        <w:w w:val="100"/>
      </w:rPr>
    </w:lvl>
    <w:lvl w:ilvl="8" w:tentative="0">
      <w:start w:val="1"/>
      <w:numFmt w:val="lowerRoman"/>
      <w:lvlText w:val="%9."/>
      <w:lvlJc w:val="right"/>
      <w:pPr>
        <w:ind w:left="3780" w:hanging="420"/>
      </w:pPr>
      <w:rPr>
        <w:rFonts w:hint="default" w:ascii="宋体" w:hAnsi="宋体"/>
        <w:w w:val="100"/>
      </w:rPr>
    </w:lvl>
  </w:abstractNum>
  <w:abstractNum w:abstractNumId="3">
    <w:nsid w:val="44650AFB"/>
    <w:multiLevelType w:val="multilevel"/>
    <w:tmpl w:val="44650AFB"/>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230"/>
    <w:rsid w:val="00016DE0"/>
    <w:rsid w:val="00121484"/>
    <w:rsid w:val="00143EFB"/>
    <w:rsid w:val="00172412"/>
    <w:rsid w:val="00172A27"/>
    <w:rsid w:val="001D399C"/>
    <w:rsid w:val="001D4A86"/>
    <w:rsid w:val="002A526A"/>
    <w:rsid w:val="003B1E68"/>
    <w:rsid w:val="003D1E2D"/>
    <w:rsid w:val="003E3DFE"/>
    <w:rsid w:val="003F066A"/>
    <w:rsid w:val="00434E34"/>
    <w:rsid w:val="00444D15"/>
    <w:rsid w:val="00500709"/>
    <w:rsid w:val="005B3358"/>
    <w:rsid w:val="005F7A1C"/>
    <w:rsid w:val="006227F8"/>
    <w:rsid w:val="00682A6F"/>
    <w:rsid w:val="00722638"/>
    <w:rsid w:val="00743570"/>
    <w:rsid w:val="00745AD1"/>
    <w:rsid w:val="00783D97"/>
    <w:rsid w:val="00786A35"/>
    <w:rsid w:val="007B3951"/>
    <w:rsid w:val="00812683"/>
    <w:rsid w:val="00814CC9"/>
    <w:rsid w:val="0088490B"/>
    <w:rsid w:val="00892BAC"/>
    <w:rsid w:val="00902E9F"/>
    <w:rsid w:val="009764D6"/>
    <w:rsid w:val="00994C1F"/>
    <w:rsid w:val="00B52B9D"/>
    <w:rsid w:val="00BD01E1"/>
    <w:rsid w:val="00BD33DA"/>
    <w:rsid w:val="00BE6CF7"/>
    <w:rsid w:val="00C0063A"/>
    <w:rsid w:val="00C50321"/>
    <w:rsid w:val="00CA0E99"/>
    <w:rsid w:val="00DA3434"/>
    <w:rsid w:val="00DF6402"/>
    <w:rsid w:val="00E32B5A"/>
    <w:rsid w:val="00E60567"/>
    <w:rsid w:val="00E80661"/>
    <w:rsid w:val="00EB3CEA"/>
    <w:rsid w:val="00EF15B3"/>
    <w:rsid w:val="00F96E56"/>
    <w:rsid w:val="00FC5C74"/>
    <w:rsid w:val="00FD177B"/>
    <w:rsid w:val="00FE4799"/>
    <w:rsid w:val="010026B9"/>
    <w:rsid w:val="024A6183"/>
    <w:rsid w:val="02517D74"/>
    <w:rsid w:val="02A71165"/>
    <w:rsid w:val="03821546"/>
    <w:rsid w:val="04E62991"/>
    <w:rsid w:val="0512105B"/>
    <w:rsid w:val="06E442EC"/>
    <w:rsid w:val="08611B5C"/>
    <w:rsid w:val="087A48E9"/>
    <w:rsid w:val="0EE20AF5"/>
    <w:rsid w:val="11F430B9"/>
    <w:rsid w:val="172E31DB"/>
    <w:rsid w:val="177D5048"/>
    <w:rsid w:val="18602033"/>
    <w:rsid w:val="19174807"/>
    <w:rsid w:val="19DC17D6"/>
    <w:rsid w:val="1AC93BBF"/>
    <w:rsid w:val="1C56016F"/>
    <w:rsid w:val="1D245742"/>
    <w:rsid w:val="1F031198"/>
    <w:rsid w:val="1F7849C2"/>
    <w:rsid w:val="1FFC58C5"/>
    <w:rsid w:val="2278184C"/>
    <w:rsid w:val="22861B8C"/>
    <w:rsid w:val="22E12077"/>
    <w:rsid w:val="23587DA5"/>
    <w:rsid w:val="26972628"/>
    <w:rsid w:val="29260F2A"/>
    <w:rsid w:val="2E0171CA"/>
    <w:rsid w:val="2EEF2A39"/>
    <w:rsid w:val="31AB08CF"/>
    <w:rsid w:val="3304669A"/>
    <w:rsid w:val="33F268E7"/>
    <w:rsid w:val="361433DA"/>
    <w:rsid w:val="3C17749A"/>
    <w:rsid w:val="3C2972B6"/>
    <w:rsid w:val="3EA34660"/>
    <w:rsid w:val="406825E1"/>
    <w:rsid w:val="41611CF8"/>
    <w:rsid w:val="43B47A7C"/>
    <w:rsid w:val="468A28C2"/>
    <w:rsid w:val="479D5ED3"/>
    <w:rsid w:val="49836BCB"/>
    <w:rsid w:val="4C543218"/>
    <w:rsid w:val="4FD40CB3"/>
    <w:rsid w:val="51EB103B"/>
    <w:rsid w:val="530C3972"/>
    <w:rsid w:val="543A3BB4"/>
    <w:rsid w:val="547A0E92"/>
    <w:rsid w:val="57286377"/>
    <w:rsid w:val="59AA7060"/>
    <w:rsid w:val="5DE63BEE"/>
    <w:rsid w:val="61356D11"/>
    <w:rsid w:val="62753657"/>
    <w:rsid w:val="669213A1"/>
    <w:rsid w:val="67A91325"/>
    <w:rsid w:val="68C42DE9"/>
    <w:rsid w:val="6AEB3A8E"/>
    <w:rsid w:val="6CC159D2"/>
    <w:rsid w:val="6E0E6428"/>
    <w:rsid w:val="77070E2C"/>
    <w:rsid w:val="78AA62B4"/>
    <w:rsid w:val="7D1F7BA7"/>
    <w:rsid w:val="7EB02B41"/>
    <w:rsid w:val="7EE467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等线" w:cs="宋体"/>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3"/>
    <w:semiHidden/>
    <w:unhideWhenUsed/>
    <w:qFormat/>
    <w:uiPriority w:val="99"/>
    <w:rPr>
      <w:sz w:val="18"/>
      <w:szCs w:val="18"/>
    </w:rPr>
  </w:style>
  <w:style w:type="paragraph" w:styleId="3">
    <w:name w:val="footer"/>
    <w:basedOn w:val="1"/>
    <w:link w:val="17"/>
    <w:qFormat/>
    <w:uiPriority w:val="99"/>
    <w:pPr>
      <w:tabs>
        <w:tab w:val="center" w:pos="4153"/>
        <w:tab w:val="right" w:pos="8306"/>
      </w:tabs>
      <w:snapToGrid w:val="0"/>
      <w:jc w:val="left"/>
    </w:pPr>
    <w:rPr>
      <w:sz w:val="18"/>
      <w:szCs w:val="18"/>
    </w:rPr>
  </w:style>
  <w:style w:type="paragraph" w:styleId="4">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unhideWhenUsed/>
    <w:qFormat/>
    <w:uiPriority w:val="39"/>
  </w:style>
  <w:style w:type="paragraph" w:styleId="6">
    <w:name w:val="toc 2"/>
    <w:basedOn w:val="1"/>
    <w:next w:val="1"/>
    <w:semiHidden/>
    <w:unhideWhenUsed/>
    <w:qFormat/>
    <w:uiPriority w:val="39"/>
    <w:pPr>
      <w:ind w:left="420" w:leftChars="200"/>
    </w:pPr>
  </w:style>
  <w:style w:type="character" w:styleId="9">
    <w:name w:val="Strong"/>
    <w:qFormat/>
    <w:uiPriority w:val="0"/>
    <w:rPr>
      <w:b/>
      <w:sz w:val="20"/>
    </w:rPr>
  </w:style>
  <w:style w:type="character" w:styleId="10">
    <w:name w:val="page number"/>
    <w:qFormat/>
    <w:uiPriority w:val="0"/>
    <w:rPr>
      <w:sz w:val="20"/>
    </w:rPr>
  </w:style>
  <w:style w:type="character" w:styleId="11">
    <w:name w:val="FollowedHyperlink"/>
    <w:basedOn w:val="8"/>
    <w:qFormat/>
    <w:uiPriority w:val="0"/>
    <w:rPr>
      <w:color w:val="333333"/>
      <w:sz w:val="20"/>
      <w:u w:val="none"/>
    </w:rPr>
  </w:style>
  <w:style w:type="character" w:styleId="12">
    <w:name w:val="Emphasis"/>
    <w:qFormat/>
    <w:uiPriority w:val="0"/>
    <w:rPr>
      <w:i/>
      <w:sz w:val="20"/>
    </w:rPr>
  </w:style>
  <w:style w:type="character" w:styleId="13">
    <w:name w:val="Hyperlink"/>
    <w:basedOn w:val="8"/>
    <w:qFormat/>
    <w:uiPriority w:val="0"/>
    <w:rPr>
      <w:color w:val="333333"/>
      <w:sz w:val="20"/>
      <w:u w:val="none"/>
    </w:rPr>
  </w:style>
  <w:style w:type="character" w:styleId="14">
    <w:name w:val="annotation reference"/>
    <w:qFormat/>
    <w:uiPriority w:val="0"/>
    <w:rPr>
      <w:sz w:val="20"/>
    </w:rPr>
  </w:style>
  <w:style w:type="character" w:styleId="15">
    <w:name w:val="footnote reference"/>
    <w:qFormat/>
    <w:uiPriority w:val="0"/>
    <w:rPr>
      <w:sz w:val="20"/>
      <w:vertAlign w:val="superscript"/>
    </w:rPr>
  </w:style>
  <w:style w:type="character" w:customStyle="1" w:styleId="16">
    <w:name w:val="页眉 Char"/>
    <w:basedOn w:val="8"/>
    <w:link w:val="4"/>
    <w:qFormat/>
    <w:uiPriority w:val="99"/>
    <w:rPr>
      <w:sz w:val="18"/>
      <w:szCs w:val="18"/>
    </w:rPr>
  </w:style>
  <w:style w:type="character" w:customStyle="1" w:styleId="17">
    <w:name w:val="页脚 Char"/>
    <w:basedOn w:val="8"/>
    <w:link w:val="3"/>
    <w:qFormat/>
    <w:uiPriority w:val="99"/>
    <w:rPr>
      <w:sz w:val="18"/>
      <w:szCs w:val="18"/>
    </w:rPr>
  </w:style>
  <w:style w:type="character" w:customStyle="1" w:styleId="18">
    <w:name w:val="Subtle Emphasis_7409473b-adda-4e9a-b2fe-0a93acaad35c"/>
    <w:qFormat/>
    <w:uiPriority w:val="0"/>
    <w:rPr>
      <w:i/>
      <w:color w:val="404040"/>
      <w:sz w:val="21"/>
    </w:rPr>
  </w:style>
  <w:style w:type="character" w:customStyle="1" w:styleId="19">
    <w:name w:val="Intense Emphasis_11d78e91-c46a-45fd-9725-dabc1bd13e28"/>
    <w:qFormat/>
    <w:uiPriority w:val="0"/>
    <w:rPr>
      <w:i/>
      <w:color w:val="5B9BD5"/>
      <w:sz w:val="21"/>
    </w:rPr>
  </w:style>
  <w:style w:type="character" w:customStyle="1" w:styleId="20">
    <w:name w:val="Subtle Reference_73c30f56-82de-4047-b1bf-ddbcbe6fb9bd"/>
    <w:qFormat/>
    <w:uiPriority w:val="0"/>
    <w:rPr>
      <w:color w:val="5A5A5A"/>
      <w:sz w:val="21"/>
    </w:rPr>
  </w:style>
  <w:style w:type="character" w:customStyle="1" w:styleId="21">
    <w:name w:val="Intense Reference_6b34fee4-dfc5-4300-9841-ac147bc2392b"/>
    <w:qFormat/>
    <w:uiPriority w:val="0"/>
    <w:rPr>
      <w:b/>
      <w:color w:val="5B9BD5"/>
      <w:sz w:val="21"/>
    </w:rPr>
  </w:style>
  <w:style w:type="character" w:customStyle="1" w:styleId="22">
    <w:name w:val="Book Title_686ec98c-e86f-4344-a377-3f9b508bb615"/>
    <w:qFormat/>
    <w:uiPriority w:val="0"/>
    <w:rPr>
      <w:b/>
      <w:i/>
      <w:sz w:val="21"/>
    </w:rPr>
  </w:style>
  <w:style w:type="character" w:customStyle="1" w:styleId="23">
    <w:name w:val="标题 2 Char1"/>
    <w:qFormat/>
    <w:uiPriority w:val="0"/>
    <w:rPr>
      <w:b/>
      <w:sz w:val="20"/>
    </w:rPr>
  </w:style>
  <w:style w:type="character" w:customStyle="1" w:styleId="24">
    <w:name w:val="标题 3 Char"/>
    <w:qFormat/>
    <w:uiPriority w:val="0"/>
    <w:rPr>
      <w:b/>
      <w:sz w:val="20"/>
    </w:rPr>
  </w:style>
  <w:style w:type="character" w:customStyle="1" w:styleId="25">
    <w:name w:val="批注文字 Char"/>
    <w:qFormat/>
    <w:uiPriority w:val="0"/>
    <w:rPr>
      <w:sz w:val="20"/>
    </w:rPr>
  </w:style>
  <w:style w:type="character" w:customStyle="1" w:styleId="26">
    <w:name w:val="正文文本缩进 Char1"/>
    <w:qFormat/>
    <w:uiPriority w:val="0"/>
    <w:rPr>
      <w:sz w:val="20"/>
    </w:rPr>
  </w:style>
  <w:style w:type="character" w:customStyle="1" w:styleId="27">
    <w:name w:val="日期 Char1"/>
    <w:qFormat/>
    <w:uiPriority w:val="0"/>
    <w:rPr>
      <w:sz w:val="20"/>
    </w:rPr>
  </w:style>
  <w:style w:type="character" w:customStyle="1" w:styleId="28">
    <w:name w:val="正文文本缩进 2 Char"/>
    <w:qFormat/>
    <w:uiPriority w:val="0"/>
    <w:rPr>
      <w:sz w:val="20"/>
    </w:rPr>
  </w:style>
  <w:style w:type="character" w:customStyle="1" w:styleId="29">
    <w:name w:val="脚注文本 Char"/>
    <w:qFormat/>
    <w:uiPriority w:val="0"/>
    <w:rPr>
      <w:sz w:val="20"/>
    </w:rPr>
  </w:style>
  <w:style w:type="character" w:customStyle="1" w:styleId="30">
    <w:name w:val="批注主题 Char"/>
    <w:qFormat/>
    <w:uiPriority w:val="0"/>
    <w:rPr>
      <w:sz w:val="20"/>
    </w:rPr>
  </w:style>
  <w:style w:type="character" w:customStyle="1" w:styleId="31">
    <w:name w:val="正文首行缩进 2 Char"/>
    <w:qFormat/>
    <w:uiPriority w:val="0"/>
    <w:rPr>
      <w:sz w:val="20"/>
    </w:rPr>
  </w:style>
  <w:style w:type="character" w:customStyle="1" w:styleId="32">
    <w:name w:val="v151"/>
    <w:qFormat/>
    <w:uiPriority w:val="0"/>
    <w:rPr>
      <w:sz w:val="20"/>
    </w:rPr>
  </w:style>
  <w:style w:type="character" w:customStyle="1" w:styleId="33">
    <w:name w:val="未命名11"/>
    <w:qFormat/>
    <w:uiPriority w:val="0"/>
    <w:rPr>
      <w:color w:val="77FFFF"/>
      <w:sz w:val="20"/>
    </w:rPr>
  </w:style>
  <w:style w:type="character" w:customStyle="1" w:styleId="34">
    <w:name w:val="title_emph1"/>
    <w:qFormat/>
    <w:uiPriority w:val="0"/>
    <w:rPr>
      <w:b/>
      <w:sz w:val="20"/>
    </w:rPr>
  </w:style>
  <w:style w:type="character" w:customStyle="1" w:styleId="35">
    <w:name w:val="标书正文:  0.74 厘米 Char1"/>
    <w:qFormat/>
    <w:uiPriority w:val="0"/>
    <w:rPr>
      <w:sz w:val="20"/>
    </w:rPr>
  </w:style>
  <w:style w:type="character" w:customStyle="1" w:styleId="36">
    <w:name w:val="Table Heading Char Char"/>
    <w:qFormat/>
    <w:uiPriority w:val="0"/>
    <w:rPr>
      <w:sz w:val="20"/>
    </w:rPr>
  </w:style>
  <w:style w:type="character" w:customStyle="1" w:styleId="37">
    <w:name w:val="Char Char4"/>
    <w:qFormat/>
    <w:uiPriority w:val="0"/>
    <w:rPr>
      <w:b/>
      <w:sz w:val="20"/>
    </w:rPr>
  </w:style>
  <w:style w:type="character" w:customStyle="1" w:styleId="38">
    <w:name w:val="正文 + 三号 Char"/>
    <w:qFormat/>
    <w:uiPriority w:val="0"/>
    <w:rPr>
      <w:sz w:val="20"/>
    </w:rPr>
  </w:style>
  <w:style w:type="character" w:customStyle="1" w:styleId="39">
    <w:name w:val="小 Char"/>
    <w:qFormat/>
    <w:uiPriority w:val="0"/>
    <w:rPr>
      <w:sz w:val="20"/>
    </w:rPr>
  </w:style>
  <w:style w:type="character" w:customStyle="1" w:styleId="40">
    <w:name w:val="H2 Char"/>
    <w:qFormat/>
    <w:uiPriority w:val="0"/>
    <w:rPr>
      <w:sz w:val="20"/>
    </w:rPr>
  </w:style>
  <w:style w:type="character" w:customStyle="1" w:styleId="41">
    <w:name w:val="crowed11"/>
    <w:qFormat/>
    <w:uiPriority w:val="0"/>
    <w:rPr>
      <w:sz w:val="20"/>
    </w:rPr>
  </w:style>
  <w:style w:type="character" w:customStyle="1" w:styleId="42">
    <w:name w:val="Char Char7"/>
    <w:qFormat/>
    <w:uiPriority w:val="0"/>
    <w:rPr>
      <w:sz w:val="20"/>
    </w:rPr>
  </w:style>
  <w:style w:type="character" w:customStyle="1" w:styleId="43">
    <w:name w:val="Char Char5"/>
    <w:qFormat/>
    <w:uiPriority w:val="0"/>
    <w:rPr>
      <w:b/>
      <w:sz w:val="20"/>
    </w:rPr>
  </w:style>
  <w:style w:type="character" w:customStyle="1" w:styleId="44">
    <w:name w:val="Char Char"/>
    <w:qFormat/>
    <w:uiPriority w:val="0"/>
    <w:rPr>
      <w:sz w:val="20"/>
    </w:rPr>
  </w:style>
  <w:style w:type="character" w:customStyle="1" w:styleId="45">
    <w:name w:val="Char Char11"/>
    <w:qFormat/>
    <w:uiPriority w:val="0"/>
    <w:rPr>
      <w:sz w:val="20"/>
    </w:rPr>
  </w:style>
  <w:style w:type="character" w:customStyle="1" w:styleId="46">
    <w:name w:val="Table Text Char"/>
    <w:qFormat/>
    <w:uiPriority w:val="0"/>
    <w:rPr>
      <w:sz w:val="20"/>
    </w:rPr>
  </w:style>
  <w:style w:type="character" w:customStyle="1" w:styleId="47">
    <w:name w:val="Table Text Char1 Char"/>
    <w:qFormat/>
    <w:uiPriority w:val="0"/>
    <w:rPr>
      <w:sz w:val="20"/>
    </w:rPr>
  </w:style>
  <w:style w:type="character" w:customStyle="1" w:styleId="48">
    <w:name w:val="font1"/>
    <w:qFormat/>
    <w:uiPriority w:val="0"/>
    <w:rPr>
      <w:color w:val="000000"/>
      <w:sz w:val="20"/>
    </w:rPr>
  </w:style>
  <w:style w:type="character" w:customStyle="1" w:styleId="49">
    <w:name w:val="Char Char2"/>
    <w:qFormat/>
    <w:uiPriority w:val="0"/>
    <w:rPr>
      <w:sz w:val="20"/>
    </w:rPr>
  </w:style>
  <w:style w:type="character" w:customStyle="1" w:styleId="50">
    <w:name w:val="样式 宋体"/>
    <w:qFormat/>
    <w:uiPriority w:val="0"/>
    <w:rPr>
      <w:sz w:val="20"/>
    </w:rPr>
  </w:style>
  <w:style w:type="character" w:customStyle="1" w:styleId="51">
    <w:name w:val="文字 Char"/>
    <w:qFormat/>
    <w:uiPriority w:val="0"/>
    <w:rPr>
      <w:sz w:val="20"/>
    </w:rPr>
  </w:style>
  <w:style w:type="character" w:customStyle="1" w:styleId="52">
    <w:name w:val="top-det1"/>
    <w:qFormat/>
    <w:uiPriority w:val="0"/>
    <w:rPr>
      <w:b/>
      <w:color w:val="000000"/>
      <w:sz w:val="20"/>
    </w:rPr>
  </w:style>
  <w:style w:type="character" w:customStyle="1" w:styleId="53">
    <w:name w:val="Char Char6"/>
    <w:qFormat/>
    <w:uiPriority w:val="0"/>
    <w:rPr>
      <w:sz w:val="20"/>
    </w:rPr>
  </w:style>
  <w:style w:type="character" w:customStyle="1" w:styleId="54">
    <w:name w:val="content-white1"/>
    <w:qFormat/>
    <w:uiPriority w:val="0"/>
    <w:rPr>
      <w:sz w:val="20"/>
      <w:u w:val="none"/>
    </w:rPr>
  </w:style>
  <w:style w:type="character" w:customStyle="1" w:styleId="55">
    <w:name w:val="Char Char3"/>
    <w:qFormat/>
    <w:uiPriority w:val="0"/>
    <w:rPr>
      <w:sz w:val="20"/>
    </w:rPr>
  </w:style>
  <w:style w:type="character" w:customStyle="1" w:styleId="56">
    <w:name w:val="Table Text Char Char Char Char"/>
    <w:qFormat/>
    <w:uiPriority w:val="0"/>
    <w:rPr>
      <w:sz w:val="20"/>
    </w:rPr>
  </w:style>
  <w:style w:type="character" w:customStyle="1" w:styleId="57">
    <w:name w:val="1[858D7CFB-ED40-4347-BF05-701D383B685F]"/>
    <w:qFormat/>
    <w:uiPriority w:val="0"/>
    <w:rPr>
      <w:sz w:val="20"/>
    </w:rPr>
  </w:style>
  <w:style w:type="character" w:customStyle="1" w:styleId="58">
    <w:name w:val="标题 2 Char"/>
    <w:qFormat/>
    <w:uiPriority w:val="0"/>
    <w:rPr>
      <w:b/>
      <w:sz w:val="20"/>
    </w:rPr>
  </w:style>
  <w:style w:type="character" w:customStyle="1" w:styleId="59">
    <w:name w:val="正文文本缩进 Char"/>
    <w:qFormat/>
    <w:uiPriority w:val="0"/>
    <w:rPr>
      <w:sz w:val="20"/>
    </w:rPr>
  </w:style>
  <w:style w:type="character" w:customStyle="1" w:styleId="60">
    <w:name w:val="*正文 Char"/>
    <w:qFormat/>
    <w:uiPriority w:val="0"/>
    <w:rPr>
      <w:sz w:val="20"/>
    </w:rPr>
  </w:style>
  <w:style w:type="character" w:customStyle="1" w:styleId="61">
    <w:name w:val="日期 Char"/>
    <w:qFormat/>
    <w:uiPriority w:val="0"/>
    <w:rPr>
      <w:sz w:val="20"/>
    </w:rPr>
  </w:style>
  <w:style w:type="character" w:customStyle="1" w:styleId="62">
    <w:name w:val="列出段落 Char"/>
    <w:qFormat/>
    <w:uiPriority w:val="0"/>
    <w:rPr>
      <w:sz w:val="20"/>
    </w:rPr>
  </w:style>
  <w:style w:type="character" w:customStyle="1" w:styleId="63">
    <w:name w:val="批注框文本 Char"/>
    <w:basedOn w:val="8"/>
    <w:link w:val="2"/>
    <w:semiHidden/>
    <w:qFormat/>
    <w:uiPriority w:val="99"/>
    <w:rPr>
      <w:rFonts w:ascii="宋体" w:hAnsi="宋体" w:eastAsia="等线" w:cs="宋体"/>
      <w:sz w:val="18"/>
      <w:szCs w:val="18"/>
    </w:rPr>
  </w:style>
  <w:style w:type="paragraph" w:styleId="64">
    <w:name w:val="List Paragraph"/>
    <w:basedOn w:val="1"/>
    <w:unhideWhenUsed/>
    <w:qFormat/>
    <w:uiPriority w:val="99"/>
    <w:pPr>
      <w:spacing w:line="560" w:lineRule="exact"/>
      <w:ind w:firstLine="420" w:firstLineChars="200"/>
    </w:pPr>
    <w:rPr>
      <w:rFonts w:ascii="Times New Roman" w:hAnsi="Times New Roman" w:eastAsia="方正仿宋_GBK" w:cstheme="minorBidi"/>
      <w:kern w:val="2"/>
      <w:sz w:val="32"/>
      <w:szCs w:val="22"/>
    </w:rPr>
  </w:style>
  <w:style w:type="paragraph" w:customStyle="1" w:styleId="65">
    <w:name w:val="WPSOffice手动目录 1"/>
    <w:qFormat/>
    <w:uiPriority w:val="0"/>
    <w:rPr>
      <w:rFonts w:ascii="Times New Roman" w:hAnsi="Times New Roman" w:eastAsia="宋体" w:cs="Times New Roman"/>
      <w:lang w:val="en-US" w:eastAsia="zh-CN" w:bidi="ar-SA"/>
    </w:rPr>
  </w:style>
  <w:style w:type="paragraph" w:customStyle="1" w:styleId="66">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CDEDFA-E07E-4FE9-9FE3-93C29F4A3DB8}">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39</Pages>
  <Words>2424</Words>
  <Characters>13823</Characters>
  <Lines>115</Lines>
  <Paragraphs>32</Paragraphs>
  <TotalTime>10</TotalTime>
  <ScaleCrop>false</ScaleCrop>
  <LinksUpToDate>false</LinksUpToDate>
  <CharactersWithSpaces>16215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2021-12-06T17:44:00Z</dcterms:created>
  <dc:creator>Kings</dc:creator>
  <cp:lastModifiedBy>丁丁er</cp:lastModifiedBy>
  <dcterms:modified xsi:type="dcterms:W3CDTF">2021-12-10T06:49:34Z</dcterms:modified>
  <dc:title>第二届川渝住房城乡建设博览会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98519453173548E8963F6C5EC7C2D17B</vt:lpwstr>
  </property>
</Properties>
</file>